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775"/>
        <w:gridCol w:w="5079"/>
      </w:tblGrid>
      <w:tr w:rsidR="005B62B6" w14:paraId="3807C97F" w14:textId="77777777" w:rsidTr="00934685">
        <w:trPr>
          <w:trHeight w:val="145"/>
        </w:trPr>
        <w:tc>
          <w:tcPr>
            <w:tcW w:w="936" w:type="dxa"/>
            <w:vAlign w:val="center"/>
          </w:tcPr>
          <w:p w14:paraId="65C0CADC" w14:textId="442BE486" w:rsidR="005B62B6" w:rsidRDefault="005B62B6" w:rsidP="0009707C">
            <w:pPr>
              <w:jc w:val="center"/>
            </w:pPr>
          </w:p>
        </w:tc>
        <w:tc>
          <w:tcPr>
            <w:tcW w:w="8854" w:type="dxa"/>
            <w:gridSpan w:val="2"/>
            <w:vAlign w:val="center"/>
          </w:tcPr>
          <w:p w14:paraId="30333868" w14:textId="77777777" w:rsidR="005B62B6" w:rsidRDefault="005B62B6" w:rsidP="0009707C">
            <w:pPr>
              <w:rPr>
                <w:b/>
                <w:sz w:val="22"/>
              </w:rPr>
            </w:pPr>
          </w:p>
        </w:tc>
      </w:tr>
      <w:tr w:rsidR="005B62B6" w14:paraId="16FA57B9" w14:textId="77777777" w:rsidTr="0009707C">
        <w:trPr>
          <w:trHeight w:val="627"/>
        </w:trPr>
        <w:tc>
          <w:tcPr>
            <w:tcW w:w="4711" w:type="dxa"/>
            <w:gridSpan w:val="2"/>
          </w:tcPr>
          <w:p w14:paraId="1DC9CD34" w14:textId="77777777" w:rsidR="005B62B6" w:rsidRDefault="005B62B6" w:rsidP="0009707C">
            <w:pPr>
              <w:spacing w:line="228" w:lineRule="auto"/>
              <w:ind w:right="20"/>
              <w:jc w:val="both"/>
              <w:rPr>
                <w:b/>
                <w:sz w:val="22"/>
              </w:rPr>
            </w:pPr>
          </w:p>
          <w:p w14:paraId="61D202FA" w14:textId="77777777" w:rsidR="005B62B6" w:rsidRDefault="005B62B6" w:rsidP="0009707C">
            <w:pPr>
              <w:spacing w:line="230" w:lineRule="auto"/>
              <w:ind w:right="20" w:firstLine="708"/>
              <w:jc w:val="both"/>
              <w:rPr>
                <w:b/>
              </w:rPr>
            </w:pPr>
            <w:r>
              <w:t xml:space="preserve">                  </w:t>
            </w:r>
            <w:r>
              <w:rPr>
                <w:noProof/>
                <w:lang w:eastAsia="hr-HR"/>
              </w:rPr>
              <w:drawing>
                <wp:inline distT="0" distB="0" distL="0" distR="0" wp14:anchorId="3CC6A9FD" wp14:editId="2C742082">
                  <wp:extent cx="457200" cy="609600"/>
                  <wp:effectExtent l="0" t="0" r="0" b="0"/>
                  <wp:docPr id="1698444126" name="Slika 1698444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92EC6" w14:textId="77777777" w:rsidR="005B62B6" w:rsidRPr="00D25CC0" w:rsidRDefault="005B62B6" w:rsidP="0009707C">
            <w:pPr>
              <w:spacing w:line="230" w:lineRule="auto"/>
              <w:ind w:right="20" w:firstLine="708"/>
              <w:jc w:val="both"/>
              <w:rPr>
                <w:b/>
              </w:rPr>
            </w:pPr>
            <w:r w:rsidRPr="00D25CC0">
              <w:rPr>
                <w:b/>
              </w:rPr>
              <w:t>REPUBLIKA HRVATSKA</w:t>
            </w:r>
          </w:p>
          <w:p w14:paraId="511448BB" w14:textId="77777777" w:rsidR="005B62B6" w:rsidRPr="00D25CC0" w:rsidRDefault="005B62B6" w:rsidP="0009707C">
            <w:pPr>
              <w:spacing w:line="230" w:lineRule="auto"/>
              <w:ind w:right="20"/>
              <w:rPr>
                <w:b/>
                <w:sz w:val="22"/>
              </w:rPr>
            </w:pPr>
            <w:r>
              <w:rPr>
                <w:b/>
              </w:rPr>
              <w:t xml:space="preserve">PRIMORSKO – GORANSKA </w:t>
            </w:r>
            <w:r w:rsidRPr="00D25CC0">
              <w:rPr>
                <w:b/>
              </w:rPr>
              <w:t xml:space="preserve">ŽUPANIJA </w:t>
            </w:r>
          </w:p>
          <w:tbl>
            <w:tblPr>
              <w:tblStyle w:val="Reetkatablice"/>
              <w:tblW w:w="822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5"/>
              <w:gridCol w:w="3172"/>
              <w:gridCol w:w="4267"/>
            </w:tblGrid>
            <w:tr w:rsidR="005B62B6" w14:paraId="6822BB43" w14:textId="77777777" w:rsidTr="0009707C">
              <w:trPr>
                <w:trHeight w:val="37"/>
              </w:trPr>
              <w:tc>
                <w:tcPr>
                  <w:tcW w:w="785" w:type="dxa"/>
                  <w:vAlign w:val="center"/>
                  <w:hideMark/>
                </w:tcPr>
                <w:p w14:paraId="12370FDE" w14:textId="77777777" w:rsidR="005B62B6" w:rsidRDefault="005B62B6" w:rsidP="0009707C">
                  <w:pPr>
                    <w:jc w:val="center"/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7E0FEDA5" wp14:editId="441CCBA7">
                        <wp:extent cx="428625" cy="428625"/>
                        <wp:effectExtent l="0" t="0" r="9525" b="9525"/>
                        <wp:docPr id="1300067583" name="Slika 13000675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39" w:type="dxa"/>
                  <w:gridSpan w:val="2"/>
                  <w:vAlign w:val="center"/>
                  <w:hideMark/>
                </w:tcPr>
                <w:p w14:paraId="65687AA2" w14:textId="77777777" w:rsidR="005B62B6" w:rsidRDefault="005B62B6" w:rsidP="0009707C">
                  <w:pPr>
                    <w:rPr>
                      <w:b/>
                      <w:sz w:val="22"/>
                    </w:rPr>
                  </w:pPr>
                </w:p>
                <w:p w14:paraId="74358186" w14:textId="77777777" w:rsidR="005B62B6" w:rsidRDefault="005B62B6" w:rsidP="0009707C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OPĆINA MATULJI</w:t>
                  </w:r>
                </w:p>
                <w:p w14:paraId="43B6E85E" w14:textId="0EABAC61" w:rsidR="005B62B6" w:rsidRDefault="00D15A45" w:rsidP="0009707C">
                  <w:pPr>
                    <w:rPr>
                      <w:b/>
                    </w:rPr>
                  </w:pPr>
                  <w:r>
                    <w:rPr>
                      <w:b/>
                    </w:rPr>
                    <w:t>Općinska načelnica</w:t>
                  </w:r>
                </w:p>
                <w:p w14:paraId="5AFD2D32" w14:textId="77777777" w:rsidR="005B62B6" w:rsidRDefault="005B62B6" w:rsidP="0009707C">
                  <w:pPr>
                    <w:rPr>
                      <w:b/>
                    </w:rPr>
                  </w:pPr>
                </w:p>
                <w:p w14:paraId="3DBBC935" w14:textId="77777777" w:rsidR="005B62B6" w:rsidRDefault="005B62B6" w:rsidP="0009707C">
                  <w:pPr>
                    <w:rPr>
                      <w:b/>
                    </w:rPr>
                  </w:pPr>
                </w:p>
              </w:tc>
            </w:tr>
            <w:tr w:rsidR="005B62B6" w14:paraId="2056F3B4" w14:textId="77777777" w:rsidTr="0009707C">
              <w:trPr>
                <w:trHeight w:val="50"/>
              </w:trPr>
              <w:tc>
                <w:tcPr>
                  <w:tcW w:w="3957" w:type="dxa"/>
                  <w:gridSpan w:val="2"/>
                </w:tcPr>
                <w:p w14:paraId="1776DE59" w14:textId="77777777" w:rsidR="005B62B6" w:rsidRPr="000439E7" w:rsidRDefault="005B62B6" w:rsidP="0009707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267" w:type="dxa"/>
                </w:tcPr>
                <w:p w14:paraId="463CAA1D" w14:textId="77777777" w:rsidR="005B62B6" w:rsidRDefault="005B62B6" w:rsidP="0009707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2CFF9B6" w14:textId="77777777" w:rsidR="005B62B6" w:rsidRDefault="005B62B6" w:rsidP="00097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9" w:type="dxa"/>
          </w:tcPr>
          <w:p w14:paraId="3FAB933C" w14:textId="77777777" w:rsidR="005B62B6" w:rsidRDefault="005B62B6" w:rsidP="0009707C">
            <w:pPr>
              <w:rPr>
                <w:sz w:val="20"/>
                <w:szCs w:val="20"/>
              </w:rPr>
            </w:pPr>
          </w:p>
          <w:p w14:paraId="343C2FA7" w14:textId="77777777" w:rsidR="005B62B6" w:rsidRDefault="005B62B6" w:rsidP="0009707C">
            <w:pPr>
              <w:rPr>
                <w:sz w:val="20"/>
                <w:szCs w:val="20"/>
              </w:rPr>
            </w:pPr>
          </w:p>
          <w:p w14:paraId="03FCDEC1" w14:textId="77777777" w:rsidR="005B62B6" w:rsidRDefault="005B62B6" w:rsidP="0009707C">
            <w:pPr>
              <w:rPr>
                <w:sz w:val="20"/>
                <w:szCs w:val="20"/>
              </w:rPr>
            </w:pPr>
          </w:p>
        </w:tc>
      </w:tr>
      <w:tr w:rsidR="005B62B6" w14:paraId="17DF2960" w14:textId="77777777" w:rsidTr="0009707C">
        <w:trPr>
          <w:trHeight w:val="160"/>
        </w:trPr>
        <w:tc>
          <w:tcPr>
            <w:tcW w:w="4711" w:type="dxa"/>
            <w:gridSpan w:val="2"/>
          </w:tcPr>
          <w:p w14:paraId="1E067A59" w14:textId="29B6B76A" w:rsidR="005B62B6" w:rsidRDefault="005B62B6" w:rsidP="005B62B6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KLASA:   944-05/</w:t>
            </w:r>
            <w:r w:rsidR="00F3083D">
              <w:rPr>
                <w:rFonts w:eastAsia="Times New Roman"/>
              </w:rPr>
              <w:t>26-01/8</w:t>
            </w:r>
          </w:p>
          <w:p w14:paraId="799077D4" w14:textId="27DEA225" w:rsidR="005B62B6" w:rsidRDefault="005B62B6" w:rsidP="005B62B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URBROJ</w:t>
            </w:r>
            <w:r>
              <w:rPr>
                <w:rFonts w:eastAsia="Times New Roman"/>
              </w:rPr>
              <w:t>: 2170-27-0</w:t>
            </w:r>
            <w:r w:rsidR="00820FB6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/1-2</w:t>
            </w:r>
            <w:r w:rsidR="00820FB6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-</w:t>
            </w:r>
            <w:r w:rsidR="00885DFE">
              <w:rPr>
                <w:rFonts w:eastAsia="Times New Roman"/>
              </w:rPr>
              <w:t>8</w:t>
            </w:r>
          </w:p>
          <w:p w14:paraId="3651F581" w14:textId="7B5619E0" w:rsidR="005B62B6" w:rsidRDefault="005B62B6" w:rsidP="005B62B6">
            <w:r>
              <w:t xml:space="preserve">Matulji, </w:t>
            </w:r>
            <w:r w:rsidR="00F3083D">
              <w:t>19.03.</w:t>
            </w:r>
            <w:r w:rsidR="00820FB6">
              <w:t>2026</w:t>
            </w:r>
            <w:r>
              <w:t>.</w:t>
            </w:r>
            <w:r w:rsidR="00820FB6">
              <w:t xml:space="preserve"> </w:t>
            </w:r>
            <w:r>
              <w:t>godine</w:t>
            </w:r>
          </w:p>
          <w:p w14:paraId="7F127745" w14:textId="77777777" w:rsidR="005B62B6" w:rsidRDefault="005B62B6" w:rsidP="005B62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9" w:type="dxa"/>
          </w:tcPr>
          <w:p w14:paraId="02768529" w14:textId="77777777" w:rsidR="005B62B6" w:rsidRDefault="005B62B6" w:rsidP="005B62B6">
            <w:pPr>
              <w:rPr>
                <w:sz w:val="20"/>
                <w:szCs w:val="20"/>
              </w:rPr>
            </w:pPr>
          </w:p>
        </w:tc>
      </w:tr>
    </w:tbl>
    <w:p w14:paraId="30A303D8" w14:textId="007B05E5" w:rsidR="00F3083D" w:rsidRDefault="00F3083D" w:rsidP="005B62B6">
      <w:pPr>
        <w:ind w:right="-148"/>
        <w:jc w:val="both"/>
      </w:pPr>
      <w:r w:rsidRPr="0079396B">
        <w:t>Na temelju članka 43. Statuta Općine Matulji („Službene novine“ Primorsko-goranske županije br. 26/09, 38/09, 08/13, 17/14, 29/14, 4/15-pročišćeni tekst, 39/15, 7/18, 6/21, 23/21, 36/23 ) i članka 3.</w:t>
      </w:r>
      <w:r>
        <w:t xml:space="preserve">, članka 4. i članka 15. </w:t>
      </w:r>
      <w:r w:rsidRPr="0079396B">
        <w:t>Odluke o raspolaganju nekretninama („Službene novine Općine Matulji“ broj 5/25), Općinsk</w:t>
      </w:r>
      <w:r>
        <w:t>a</w:t>
      </w:r>
      <w:r w:rsidRPr="0079396B">
        <w:t xml:space="preserve"> načelni</w:t>
      </w:r>
      <w:r>
        <w:t>ca</w:t>
      </w:r>
      <w:r w:rsidRPr="0079396B">
        <w:t xml:space="preserve"> Općine Matulji</w:t>
      </w:r>
      <w:r>
        <w:t xml:space="preserve"> donosi slijedeću</w:t>
      </w:r>
    </w:p>
    <w:p w14:paraId="44A69B31" w14:textId="77777777" w:rsidR="00F3083D" w:rsidRDefault="00F3083D" w:rsidP="005B62B6">
      <w:pPr>
        <w:ind w:right="-148"/>
        <w:jc w:val="both"/>
      </w:pPr>
    </w:p>
    <w:p w14:paraId="0E784278" w14:textId="77777777" w:rsidR="005B62B6" w:rsidRDefault="005B62B6" w:rsidP="005B62B6">
      <w:pPr>
        <w:ind w:right="-148"/>
        <w:jc w:val="both"/>
        <w:rPr>
          <w:rFonts w:eastAsia="Times New Roman"/>
          <w:lang w:eastAsia="hr-HR"/>
        </w:rPr>
      </w:pPr>
    </w:p>
    <w:p w14:paraId="369ABAC1" w14:textId="77777777" w:rsidR="005B62B6" w:rsidRDefault="005B62B6" w:rsidP="005B62B6">
      <w:pPr>
        <w:ind w:right="-148"/>
        <w:jc w:val="center"/>
        <w:rPr>
          <w:rFonts w:eastAsia="Times New Roman"/>
          <w:lang w:eastAsia="hr-HR"/>
        </w:rPr>
      </w:pPr>
      <w:bookmarkStart w:id="0" w:name="_Hlk179453393"/>
      <w:bookmarkEnd w:id="0"/>
      <w:r>
        <w:rPr>
          <w:rFonts w:eastAsia="Times New Roman"/>
          <w:lang w:eastAsia="hr-HR"/>
        </w:rPr>
        <w:t>ODLUKU</w:t>
      </w:r>
    </w:p>
    <w:p w14:paraId="68FB4AB0" w14:textId="55B558DB" w:rsidR="005B62B6" w:rsidRDefault="00F3083D" w:rsidP="005B62B6">
      <w:pPr>
        <w:ind w:right="-148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 DJELOMIČNOM PONIŠTENJU JAVNOG NATJEČAJA ZA PRODAJU NEKRETNINA U VLASNIŠTVU OPĆINE MATULJI</w:t>
      </w:r>
    </w:p>
    <w:p w14:paraId="0B6D3435" w14:textId="77777777" w:rsidR="005B62B6" w:rsidRDefault="005B62B6" w:rsidP="005B62B6">
      <w:pPr>
        <w:ind w:right="-148"/>
        <w:jc w:val="center"/>
        <w:rPr>
          <w:rFonts w:eastAsia="Times New Roman"/>
          <w:lang w:eastAsia="hr-HR"/>
        </w:rPr>
      </w:pPr>
    </w:p>
    <w:p w14:paraId="53091306" w14:textId="77777777" w:rsidR="006030ED" w:rsidRDefault="006030ED" w:rsidP="005B62B6">
      <w:pPr>
        <w:ind w:right="-148"/>
        <w:jc w:val="center"/>
        <w:rPr>
          <w:rFonts w:eastAsia="Times New Roman"/>
          <w:lang w:eastAsia="hr-HR"/>
        </w:rPr>
      </w:pPr>
    </w:p>
    <w:p w14:paraId="2D9E88A0" w14:textId="77777777" w:rsidR="00F3083D" w:rsidRPr="00F3083D" w:rsidRDefault="00F3083D" w:rsidP="00F3083D">
      <w:pPr>
        <w:ind w:right="-148"/>
        <w:jc w:val="center"/>
        <w:rPr>
          <w:rFonts w:eastAsia="Times New Roman"/>
          <w:b/>
          <w:bCs/>
          <w:lang w:eastAsia="hr-HR"/>
        </w:rPr>
      </w:pPr>
      <w:r w:rsidRPr="00F3083D">
        <w:rPr>
          <w:rFonts w:eastAsia="Times New Roman"/>
          <w:b/>
          <w:bCs/>
          <w:lang w:eastAsia="hr-HR"/>
        </w:rPr>
        <w:t>Članak 1.</w:t>
      </w:r>
    </w:p>
    <w:p w14:paraId="0EDA25AF" w14:textId="77777777" w:rsidR="006030ED" w:rsidRPr="006030ED" w:rsidRDefault="00F3083D" w:rsidP="006030ED">
      <w:pPr>
        <w:pStyle w:val="Odlomakpopisa"/>
        <w:numPr>
          <w:ilvl w:val="0"/>
          <w:numId w:val="4"/>
        </w:numPr>
        <w:ind w:left="360" w:right="-148" w:firstLine="0"/>
        <w:jc w:val="both"/>
        <w:rPr>
          <w:rFonts w:eastAsia="Times New Roman"/>
          <w:kern w:val="1"/>
          <w:lang w:eastAsia="hr-HR"/>
        </w:rPr>
      </w:pPr>
      <w:r>
        <w:rPr>
          <w:rFonts w:eastAsia="Times New Roman"/>
          <w:lang w:eastAsia="hr-HR"/>
        </w:rPr>
        <w:t xml:space="preserve">Ovom Odlukom poništava se </w:t>
      </w:r>
      <w:r w:rsidRPr="00F3083D">
        <w:rPr>
          <w:rFonts w:eastAsia="Times New Roman"/>
          <w:b/>
          <w:bCs/>
          <w:u w:val="single"/>
          <w:lang w:eastAsia="hr-HR"/>
        </w:rPr>
        <w:t>dio</w:t>
      </w:r>
      <w:r>
        <w:rPr>
          <w:rFonts w:eastAsia="Times New Roman"/>
          <w:lang w:eastAsia="hr-HR"/>
        </w:rPr>
        <w:t xml:space="preserve"> Javnog natječaja za prodaju nekretnina u vlasništvu Općine Matulji (KLASA: </w:t>
      </w:r>
      <w:r>
        <w:rPr>
          <w:rFonts w:eastAsia="Times New Roman"/>
        </w:rPr>
        <w:t xml:space="preserve">944-05/26-01/8, </w:t>
      </w:r>
      <w:r>
        <w:rPr>
          <w:rFonts w:eastAsia="Times New Roman"/>
          <w:color w:val="000000"/>
        </w:rPr>
        <w:t>URBROJ</w:t>
      </w:r>
      <w:r>
        <w:rPr>
          <w:rFonts w:eastAsia="Times New Roman"/>
        </w:rPr>
        <w:t xml:space="preserve">: 2170-27-03/1-26-1) koji je dana 02. ožujka 2026. godine objavljen na mrežnoj stranici i oglasnoj ploči Općine Matulji, a Obavijest o istome objavljena je istoga dana u </w:t>
      </w:r>
      <w:r w:rsidR="006030ED">
        <w:rPr>
          <w:rFonts w:eastAsia="Times New Roman"/>
        </w:rPr>
        <w:t>dnevnom glasilu „Novi list“, i to za nekretninu pod rednim brojem:</w:t>
      </w:r>
    </w:p>
    <w:p w14:paraId="0C466421" w14:textId="77777777" w:rsidR="006030ED" w:rsidRPr="006030ED" w:rsidRDefault="006030ED" w:rsidP="006030ED">
      <w:pPr>
        <w:pStyle w:val="Odlomakpopisa"/>
        <w:ind w:left="360" w:right="-148"/>
        <w:jc w:val="both"/>
        <w:rPr>
          <w:rFonts w:eastAsia="Times New Roman"/>
          <w:kern w:val="1"/>
          <w:lang w:eastAsia="hr-HR"/>
        </w:rPr>
      </w:pPr>
    </w:p>
    <w:p w14:paraId="33124951" w14:textId="6A7DE122" w:rsidR="006030ED" w:rsidRPr="006030ED" w:rsidRDefault="006030ED" w:rsidP="006030ED">
      <w:pPr>
        <w:pStyle w:val="Odlomakpopisa"/>
        <w:ind w:left="360" w:right="-148"/>
        <w:jc w:val="both"/>
        <w:rPr>
          <w:rFonts w:eastAsia="Times New Roman"/>
          <w:i/>
          <w:iCs/>
          <w:kern w:val="1"/>
          <w:lang w:eastAsia="hr-HR"/>
        </w:rPr>
      </w:pPr>
      <w:r w:rsidRPr="006030ED">
        <w:rPr>
          <w:rFonts w:eastAsia="Times New Roman"/>
          <w:i/>
          <w:iCs/>
        </w:rPr>
        <w:t xml:space="preserve">„5). </w:t>
      </w:r>
      <w:r w:rsidRPr="006030ED">
        <w:rPr>
          <w:rFonts w:eastAsia="Times New Roman"/>
          <w:i/>
          <w:iCs/>
          <w:kern w:val="1"/>
          <w:lang w:eastAsia="hr-HR"/>
        </w:rPr>
        <w:t xml:space="preserve">k.č. br. 187/2 Put Luskino, put, pašnjak površine 530 m2 upisana u zk ul. 661 K.O.   </w:t>
      </w:r>
    </w:p>
    <w:p w14:paraId="5F937CCB" w14:textId="77777777" w:rsidR="006030ED" w:rsidRPr="006030ED" w:rsidRDefault="006030ED" w:rsidP="006030ED">
      <w:pPr>
        <w:ind w:left="360" w:right="-148"/>
        <w:contextualSpacing/>
        <w:jc w:val="both"/>
        <w:rPr>
          <w:rFonts w:eastAsia="Times New Roman"/>
          <w:i/>
          <w:iCs/>
          <w:kern w:val="1"/>
          <w:lang w:eastAsia="hr-HR"/>
        </w:rPr>
      </w:pPr>
      <w:r w:rsidRPr="006030ED">
        <w:rPr>
          <w:rFonts w:eastAsia="Times New Roman"/>
          <w:i/>
          <w:iCs/>
          <w:kern w:val="1"/>
          <w:lang w:eastAsia="hr-HR"/>
        </w:rPr>
        <w:t xml:space="preserve">       Mihotići</w:t>
      </w:r>
    </w:p>
    <w:p w14:paraId="382765D1" w14:textId="77777777" w:rsidR="006030ED" w:rsidRPr="006030ED" w:rsidRDefault="006030ED" w:rsidP="006030ED">
      <w:pPr>
        <w:ind w:left="360" w:right="-148"/>
        <w:jc w:val="both"/>
        <w:rPr>
          <w:rFonts w:eastAsia="Times New Roman"/>
          <w:i/>
          <w:iCs/>
          <w:color w:val="EE0000"/>
          <w:kern w:val="1"/>
          <w:lang w:eastAsia="hr-HR"/>
        </w:rPr>
      </w:pPr>
    </w:p>
    <w:p w14:paraId="5A79D63F" w14:textId="77777777" w:rsidR="006030ED" w:rsidRPr="006030ED" w:rsidRDefault="006030ED" w:rsidP="006030ED">
      <w:pPr>
        <w:ind w:left="708" w:right="-148"/>
        <w:jc w:val="both"/>
        <w:rPr>
          <w:rFonts w:eastAsia="Times New Roman"/>
          <w:i/>
          <w:iCs/>
          <w:kern w:val="1"/>
          <w:lang w:eastAsia="hr-HR"/>
        </w:rPr>
      </w:pPr>
      <w:r w:rsidRPr="006030ED">
        <w:rPr>
          <w:rFonts w:eastAsia="Times New Roman"/>
          <w:i/>
          <w:iCs/>
          <w:kern w:val="1"/>
          <w:lang w:eastAsia="hr-HR"/>
        </w:rPr>
        <w:t>Početna cijena: 67.706,88 eura (slovima: šezdesetsedamtisućasedamstošesteura i osamdesetosamcenti)</w:t>
      </w:r>
    </w:p>
    <w:p w14:paraId="0F1D0821" w14:textId="77777777" w:rsidR="006030ED" w:rsidRPr="006030ED" w:rsidRDefault="006030ED" w:rsidP="006030ED">
      <w:pPr>
        <w:ind w:left="708" w:right="-148"/>
        <w:jc w:val="both"/>
        <w:rPr>
          <w:b/>
          <w:bCs/>
          <w:i/>
          <w:iCs/>
          <w:kern w:val="1"/>
        </w:rPr>
      </w:pPr>
      <w:r w:rsidRPr="006030ED">
        <w:rPr>
          <w:rFonts w:eastAsia="Times New Roman"/>
          <w:i/>
          <w:iCs/>
          <w:kern w:val="1"/>
          <w:lang w:eastAsia="hr-HR"/>
        </w:rPr>
        <w:t>Jamčevina: 6.770,69 eura (slovima: šesttisućasedamstosedamdeseteura i šezdesetdevetcenti)</w:t>
      </w:r>
    </w:p>
    <w:p w14:paraId="67CD9A46" w14:textId="77777777" w:rsidR="006030ED" w:rsidRPr="006030ED" w:rsidRDefault="006030ED" w:rsidP="006030ED">
      <w:pPr>
        <w:ind w:right="-148"/>
        <w:jc w:val="both"/>
        <w:rPr>
          <w:b/>
          <w:bCs/>
          <w:i/>
          <w:iCs/>
          <w:kern w:val="1"/>
        </w:rPr>
      </w:pPr>
      <w:r w:rsidRPr="006030ED">
        <w:rPr>
          <w:b/>
          <w:bCs/>
          <w:i/>
          <w:iCs/>
          <w:kern w:val="1"/>
        </w:rPr>
        <w:tab/>
      </w:r>
    </w:p>
    <w:p w14:paraId="55A469C9" w14:textId="77777777" w:rsidR="006030ED" w:rsidRPr="006030ED" w:rsidRDefault="006030ED" w:rsidP="006030ED">
      <w:pPr>
        <w:ind w:right="-148" w:firstLine="360"/>
        <w:jc w:val="both"/>
        <w:rPr>
          <w:i/>
          <w:iCs/>
          <w:kern w:val="1"/>
        </w:rPr>
      </w:pPr>
      <w:r w:rsidRPr="006030ED">
        <w:rPr>
          <w:i/>
          <w:iCs/>
          <w:kern w:val="1"/>
        </w:rPr>
        <w:t xml:space="preserve">      Napomena:</w:t>
      </w:r>
    </w:p>
    <w:p w14:paraId="1F7B359D" w14:textId="1D9FEDB5" w:rsidR="006030ED" w:rsidRPr="006030ED" w:rsidRDefault="006030ED" w:rsidP="006030ED">
      <w:pPr>
        <w:ind w:right="-148" w:firstLine="360"/>
        <w:jc w:val="both"/>
        <w:rPr>
          <w:i/>
          <w:iCs/>
          <w:kern w:val="1"/>
        </w:rPr>
      </w:pPr>
      <w:r w:rsidRPr="006030ED">
        <w:rPr>
          <w:i/>
          <w:iCs/>
          <w:kern w:val="1"/>
        </w:rPr>
        <w:t xml:space="preserve">      Općina Matulji nije u posjedu predmetnih nekretnina. „</w:t>
      </w:r>
    </w:p>
    <w:p w14:paraId="3410CFC1" w14:textId="54C48999" w:rsidR="00F3083D" w:rsidRDefault="00F3083D" w:rsidP="00F3083D">
      <w:pPr>
        <w:jc w:val="both"/>
        <w:rPr>
          <w:rFonts w:eastAsia="Times New Roman"/>
        </w:rPr>
      </w:pPr>
    </w:p>
    <w:p w14:paraId="43327F7D" w14:textId="57325CAC" w:rsidR="00F3083D" w:rsidRPr="006030ED" w:rsidRDefault="006030ED" w:rsidP="006030ED">
      <w:pPr>
        <w:ind w:right="-148"/>
        <w:jc w:val="center"/>
        <w:rPr>
          <w:rFonts w:eastAsia="Times New Roman"/>
          <w:b/>
          <w:bCs/>
          <w:lang w:eastAsia="hr-HR"/>
        </w:rPr>
      </w:pPr>
      <w:r w:rsidRPr="006030ED">
        <w:rPr>
          <w:rFonts w:eastAsia="Times New Roman"/>
          <w:b/>
          <w:bCs/>
          <w:lang w:eastAsia="hr-HR"/>
        </w:rPr>
        <w:t>Članak 2.</w:t>
      </w:r>
    </w:p>
    <w:p w14:paraId="7DADAE6E" w14:textId="77777777" w:rsidR="006030ED" w:rsidRDefault="006030ED" w:rsidP="00F3083D">
      <w:pPr>
        <w:ind w:right="-148"/>
        <w:jc w:val="both"/>
        <w:rPr>
          <w:rFonts w:eastAsia="Times New Roman"/>
          <w:lang w:eastAsia="hr-HR"/>
        </w:rPr>
      </w:pPr>
    </w:p>
    <w:p w14:paraId="60AB0C2F" w14:textId="77777777" w:rsidR="006030ED" w:rsidRDefault="006030ED" w:rsidP="00F3083D">
      <w:pPr>
        <w:ind w:right="-14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Zadužuje se Upravni odjel za financije i proračun da izvrši povrat ponuditeljima eventualno uplaćene jamčevine za nekretninu iz članka 1. ove Odluke.</w:t>
      </w:r>
    </w:p>
    <w:p w14:paraId="0AF0BA13" w14:textId="77777777" w:rsidR="006030ED" w:rsidRDefault="006030ED" w:rsidP="00F3083D">
      <w:pPr>
        <w:ind w:right="-148"/>
        <w:jc w:val="both"/>
        <w:rPr>
          <w:rFonts w:eastAsia="Times New Roman"/>
          <w:lang w:eastAsia="hr-HR"/>
        </w:rPr>
      </w:pPr>
    </w:p>
    <w:p w14:paraId="5784666C" w14:textId="77777777" w:rsidR="006030ED" w:rsidRPr="006030ED" w:rsidRDefault="006030ED" w:rsidP="006030ED">
      <w:pPr>
        <w:ind w:right="-148"/>
        <w:jc w:val="center"/>
        <w:rPr>
          <w:rFonts w:eastAsia="Times New Roman"/>
          <w:b/>
          <w:bCs/>
          <w:lang w:eastAsia="hr-HR"/>
        </w:rPr>
      </w:pPr>
      <w:r w:rsidRPr="006030ED">
        <w:rPr>
          <w:rFonts w:eastAsia="Times New Roman"/>
          <w:b/>
          <w:bCs/>
          <w:lang w:eastAsia="hr-HR"/>
        </w:rPr>
        <w:lastRenderedPageBreak/>
        <w:t>Članak 3.</w:t>
      </w:r>
    </w:p>
    <w:p w14:paraId="498AD475" w14:textId="7D62EF54" w:rsidR="006030ED" w:rsidRDefault="006030ED" w:rsidP="00F3083D">
      <w:pPr>
        <w:ind w:right="-14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</w:p>
    <w:p w14:paraId="5CEA1851" w14:textId="70733C67" w:rsidR="005F22B7" w:rsidRPr="006030ED" w:rsidRDefault="006030ED" w:rsidP="006030ED">
      <w:pPr>
        <w:ind w:right="-148"/>
        <w:jc w:val="both"/>
        <w:rPr>
          <w:rFonts w:eastAsia="Times New Roman"/>
          <w:lang w:eastAsia="hr-HR"/>
        </w:rPr>
      </w:pPr>
      <w:r w:rsidRPr="006030ED">
        <w:rPr>
          <w:rFonts w:eastAsia="Times New Roman"/>
          <w:lang w:eastAsia="hr-HR"/>
        </w:rPr>
        <w:t>Ova Odluka stupa na snagu danom donošenja, a objavit će se na mrežnoj stranici Općine Matulji, Oglasnoj ploči Općine Matulji, a obavijest o poništenju objavit će se u „Novom listu“.</w:t>
      </w:r>
    </w:p>
    <w:p w14:paraId="3CFB0993" w14:textId="77777777" w:rsidR="005B62B6" w:rsidRDefault="005B62B6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61A78BC1" w14:textId="77777777" w:rsidR="005F22B7" w:rsidRDefault="005F22B7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40794E4B" w14:textId="77777777" w:rsidR="005F22B7" w:rsidRDefault="005F22B7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67F1A0EF" w14:textId="77777777" w:rsidR="005F22B7" w:rsidRDefault="005F22B7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1A502F19" w14:textId="36FCDAFC" w:rsidR="005F22B7" w:rsidRDefault="005F22B7" w:rsidP="005B62B6">
      <w:pPr>
        <w:ind w:left="6372" w:right="-148"/>
        <w:jc w:val="right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OPĆINSKA NAČELNICA</w:t>
      </w:r>
    </w:p>
    <w:p w14:paraId="05AB2FFC" w14:textId="77777777" w:rsidR="005B62B6" w:rsidRDefault="005B62B6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135C9963" w14:textId="33CD3419" w:rsidR="005B62B6" w:rsidRDefault="006030ED" w:rsidP="006030ED">
      <w:pPr>
        <w:ind w:left="6372" w:right="-148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</w:t>
      </w:r>
      <w:r w:rsidR="005B62B6">
        <w:rPr>
          <w:rFonts w:eastAsia="Times New Roman"/>
          <w:lang w:eastAsia="hr-HR"/>
        </w:rPr>
        <w:t>___________________</w:t>
      </w:r>
    </w:p>
    <w:p w14:paraId="62751F57" w14:textId="77777777" w:rsidR="005B62B6" w:rsidRDefault="005B62B6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7CA055EB" w14:textId="5B4F7DAD" w:rsidR="00934685" w:rsidRDefault="006030ED" w:rsidP="00C73B60">
      <w:pPr>
        <w:ind w:left="6372" w:right="-148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</w:t>
      </w:r>
      <w:r w:rsidR="005B62B6">
        <w:rPr>
          <w:rFonts w:eastAsia="Times New Roman"/>
          <w:lang w:eastAsia="hr-HR"/>
        </w:rPr>
        <w:t>Ingrid Debeuc</w:t>
      </w:r>
    </w:p>
    <w:p w14:paraId="483DC819" w14:textId="77777777" w:rsidR="00934685" w:rsidRDefault="00934685" w:rsidP="00934685">
      <w:pPr>
        <w:ind w:left="6372" w:right="-148"/>
        <w:jc w:val="right"/>
        <w:rPr>
          <w:rFonts w:eastAsia="Times New Roman"/>
          <w:lang w:eastAsia="hr-HR"/>
        </w:rPr>
      </w:pPr>
    </w:p>
    <w:p w14:paraId="71EEE68E" w14:textId="77777777" w:rsidR="00934685" w:rsidRDefault="00934685" w:rsidP="00934685">
      <w:pPr>
        <w:ind w:left="6372" w:right="-148"/>
        <w:jc w:val="right"/>
        <w:rPr>
          <w:rFonts w:eastAsia="Times New Roman"/>
          <w:lang w:eastAsia="hr-HR"/>
        </w:rPr>
      </w:pPr>
    </w:p>
    <w:sectPr w:rsidR="0093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5848"/>
    <w:multiLevelType w:val="hybridMultilevel"/>
    <w:tmpl w:val="748A4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E1F"/>
    <w:multiLevelType w:val="hybridMultilevel"/>
    <w:tmpl w:val="2B4416BC"/>
    <w:lvl w:ilvl="0" w:tplc="041A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7C45F17"/>
    <w:multiLevelType w:val="hybridMultilevel"/>
    <w:tmpl w:val="5F769E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71CF"/>
    <w:multiLevelType w:val="hybridMultilevel"/>
    <w:tmpl w:val="239EC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14645">
    <w:abstractNumId w:val="2"/>
  </w:num>
  <w:num w:numId="2" w16cid:durableId="434834519">
    <w:abstractNumId w:val="3"/>
  </w:num>
  <w:num w:numId="3" w16cid:durableId="10692598">
    <w:abstractNumId w:val="0"/>
  </w:num>
  <w:num w:numId="4" w16cid:durableId="71238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B0"/>
    <w:rsid w:val="00364EC2"/>
    <w:rsid w:val="005349E4"/>
    <w:rsid w:val="00546BC0"/>
    <w:rsid w:val="00587BD3"/>
    <w:rsid w:val="005B62B6"/>
    <w:rsid w:val="005F22B7"/>
    <w:rsid w:val="006030ED"/>
    <w:rsid w:val="00637E74"/>
    <w:rsid w:val="00737508"/>
    <w:rsid w:val="00761701"/>
    <w:rsid w:val="00780CAA"/>
    <w:rsid w:val="00792B31"/>
    <w:rsid w:val="00820FB6"/>
    <w:rsid w:val="00850987"/>
    <w:rsid w:val="00885DFE"/>
    <w:rsid w:val="008F78B0"/>
    <w:rsid w:val="00934685"/>
    <w:rsid w:val="0098406A"/>
    <w:rsid w:val="00A77143"/>
    <w:rsid w:val="00A802ED"/>
    <w:rsid w:val="00B87594"/>
    <w:rsid w:val="00C73B60"/>
    <w:rsid w:val="00CE7361"/>
    <w:rsid w:val="00D15A45"/>
    <w:rsid w:val="00DE2EF5"/>
    <w:rsid w:val="00EE09B7"/>
    <w:rsid w:val="00EE0D15"/>
    <w:rsid w:val="00F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2883"/>
  <w15:chartTrackingRefBased/>
  <w15:docId w15:val="{DAB899B0-11DD-437D-B994-9981B9C9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2B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7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7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7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7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7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78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78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78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78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7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7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7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78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78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78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78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78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78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7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7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7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7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78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78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78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7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78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78B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5B62B6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Kalanj Kiš</dc:creator>
  <cp:keywords/>
  <dc:description/>
  <cp:lastModifiedBy>Daria Perčić Petretić</cp:lastModifiedBy>
  <cp:revision>3</cp:revision>
  <cp:lastPrinted>2026-02-16T12:57:00Z</cp:lastPrinted>
  <dcterms:created xsi:type="dcterms:W3CDTF">2026-03-18T14:03:00Z</dcterms:created>
  <dcterms:modified xsi:type="dcterms:W3CDTF">2026-03-18T14:10:00Z</dcterms:modified>
</cp:coreProperties>
</file>