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4002"/>
        <w:gridCol w:w="288"/>
        <w:gridCol w:w="4229"/>
        <w:gridCol w:w="280"/>
      </w:tblGrid>
      <w:tr w:rsidR="001576A0" w14:paraId="04B5DBFA" w14:textId="77777777" w:rsidTr="00390C45">
        <w:trPr>
          <w:gridAfter w:val="1"/>
          <w:wAfter w:w="280" w:type="dxa"/>
        </w:trPr>
        <w:tc>
          <w:tcPr>
            <w:tcW w:w="4962" w:type="dxa"/>
            <w:gridSpan w:val="2"/>
          </w:tcPr>
          <w:p w14:paraId="7656EC04" w14:textId="77777777" w:rsidR="00390C45" w:rsidRPr="00390C45" w:rsidRDefault="00000000" w:rsidP="00390C45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50937457"/>
            <w:bookmarkEnd w:id="0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</w:t>
            </w:r>
            <w:r w:rsidR="0084755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object w:dxaOrig="870" w:dyaOrig="1005" w14:anchorId="39FAB9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50.25pt" o:ole="">
                  <v:imagedata r:id="rId5" o:title=""/>
                </v:shape>
                <o:OLEObject Type="Embed" ProgID="Word.Picture.8" ShapeID="_x0000_i1025" DrawAspect="Content" ObjectID="_1826443966" r:id="rId6"/>
              </w:object>
            </w:r>
          </w:p>
          <w:p w14:paraId="7FA95235" w14:textId="77777777" w:rsidR="00390C45" w:rsidRDefault="00000000" w:rsidP="00390C45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390C45">
              <w:rPr>
                <w:rFonts w:ascii="Arial" w:hAnsi="Arial" w:cs="Arial"/>
                <w:b/>
                <w:sz w:val="24"/>
                <w:szCs w:val="24"/>
              </w:rPr>
              <w:t>REPUBLIKA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90C45">
              <w:rPr>
                <w:rFonts w:ascii="Arial" w:hAnsi="Arial" w:cs="Arial"/>
                <w:b/>
                <w:sz w:val="24"/>
                <w:szCs w:val="24"/>
              </w:rPr>
              <w:t>HRVATSKA</w:t>
            </w:r>
          </w:p>
          <w:p w14:paraId="1DC3A5BB" w14:textId="77777777" w:rsidR="00390C45" w:rsidRPr="00390C45" w:rsidRDefault="00000000" w:rsidP="00390C45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90C45">
              <w:rPr>
                <w:rFonts w:ascii="Arial" w:hAnsi="Arial" w:cs="Arial"/>
                <w:b/>
                <w:sz w:val="24"/>
                <w:szCs w:val="24"/>
              </w:rPr>
              <w:t>PRIMORSKO-GORANSKA ŽUPANIJA</w:t>
            </w:r>
          </w:p>
          <w:p w14:paraId="75B9AEC1" w14:textId="77777777" w:rsidR="00390C45" w:rsidRPr="00390C45" w:rsidRDefault="00390C45" w:rsidP="00390C45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7" w:type="dxa"/>
            <w:gridSpan w:val="2"/>
          </w:tcPr>
          <w:p w14:paraId="6F720850" w14:textId="77777777" w:rsidR="00390C45" w:rsidRPr="00390C45" w:rsidRDefault="00390C45" w:rsidP="00390C45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76A0" w14:paraId="1FF6D5AA" w14:textId="77777777" w:rsidTr="00390C45">
        <w:trPr>
          <w:trHeight w:val="940"/>
        </w:trPr>
        <w:tc>
          <w:tcPr>
            <w:tcW w:w="960" w:type="dxa"/>
            <w:vAlign w:val="center"/>
            <w:hideMark/>
          </w:tcPr>
          <w:p w14:paraId="4FC4C37C" w14:textId="77777777" w:rsidR="00390C45" w:rsidRPr="00390C45" w:rsidRDefault="00000000" w:rsidP="00390C45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0C45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2BA006C" wp14:editId="14AF099A">
                  <wp:extent cx="428625" cy="428625"/>
                  <wp:effectExtent l="0" t="0" r="9525" b="9525"/>
                  <wp:docPr id="1742673388" name="Slika 2" descr="http://matulji.hr/pocetna/wp-content/uploads/2014/01/logo_opcina_matulj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673388" name="Picture 1" descr="http://matulji.hr/pocetna/wp-content/uploads/2014/01/logo_opcina_matulj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9" w:type="dxa"/>
            <w:gridSpan w:val="4"/>
            <w:vAlign w:val="center"/>
            <w:hideMark/>
          </w:tcPr>
          <w:p w14:paraId="4A8C58B1" w14:textId="77777777" w:rsidR="00390C45" w:rsidRPr="00390C45" w:rsidRDefault="00000000" w:rsidP="00390C45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90C45">
              <w:rPr>
                <w:rFonts w:ascii="Arial" w:hAnsi="Arial" w:cs="Arial"/>
                <w:b/>
                <w:sz w:val="24"/>
                <w:szCs w:val="24"/>
              </w:rPr>
              <w:t xml:space="preserve">      OPĆINA MATULJI</w:t>
            </w:r>
          </w:p>
          <w:p w14:paraId="053366AE" w14:textId="77777777" w:rsidR="00390C45" w:rsidRPr="00390C45" w:rsidRDefault="00000000" w:rsidP="00390C45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90C4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Upravni odjel za samoupravu i upravu</w:t>
            </w:r>
          </w:p>
        </w:tc>
      </w:tr>
      <w:tr w:rsidR="001576A0" w14:paraId="25E181BA" w14:textId="77777777" w:rsidTr="00390C45">
        <w:trPr>
          <w:gridAfter w:val="2"/>
          <w:wAfter w:w="4509" w:type="dxa"/>
        </w:trPr>
        <w:tc>
          <w:tcPr>
            <w:tcW w:w="5250" w:type="dxa"/>
            <w:gridSpan w:val="3"/>
          </w:tcPr>
          <w:p w14:paraId="5B6F93ED" w14:textId="77777777" w:rsidR="00390C45" w:rsidRPr="00390C45" w:rsidRDefault="00000000" w:rsidP="00390C45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0C45">
              <w:rPr>
                <w:rFonts w:ascii="Arial" w:hAnsi="Arial" w:cs="Arial"/>
                <w:sz w:val="24"/>
                <w:szCs w:val="24"/>
              </w:rPr>
              <w:t>KLASA:</w:t>
            </w:r>
            <w:r w:rsidR="005009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7551">
              <w:rPr>
                <w:rFonts w:ascii="Arial" w:hAnsi="Arial" w:cs="Arial"/>
                <w:sz w:val="24"/>
                <w:szCs w:val="24"/>
              </w:rPr>
              <w:t>061-03/25-01/1</w:t>
            </w:r>
            <w:r w:rsidRPr="00390C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8ADBA3" w14:textId="77777777" w:rsidR="00390C45" w:rsidRDefault="00000000" w:rsidP="00390C45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0C45">
              <w:rPr>
                <w:rFonts w:ascii="Arial" w:hAnsi="Arial" w:cs="Arial"/>
                <w:sz w:val="24"/>
                <w:szCs w:val="24"/>
              </w:rPr>
              <w:t xml:space="preserve">URBROJ: </w:t>
            </w:r>
            <w:r w:rsidR="00847551">
              <w:rPr>
                <w:rFonts w:ascii="Arial" w:hAnsi="Arial" w:cs="Arial"/>
                <w:sz w:val="24"/>
                <w:szCs w:val="24"/>
              </w:rPr>
              <w:t>2170-27-02-1-25-1</w:t>
            </w:r>
          </w:p>
          <w:p w14:paraId="0418F5AD" w14:textId="77777777" w:rsidR="00390C45" w:rsidRPr="00390C45" w:rsidRDefault="00000000" w:rsidP="00390C45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0C45">
              <w:rPr>
                <w:rFonts w:ascii="Arial" w:hAnsi="Arial" w:cs="Arial"/>
                <w:sz w:val="24"/>
                <w:szCs w:val="24"/>
              </w:rPr>
              <w:t xml:space="preserve">Matulji, </w:t>
            </w:r>
            <w:r>
              <w:rPr>
                <w:rFonts w:ascii="Arial" w:hAnsi="Arial" w:cs="Arial"/>
                <w:sz w:val="24"/>
                <w:szCs w:val="24"/>
              </w:rPr>
              <w:t>05.12.2025</w:t>
            </w:r>
            <w:r w:rsidRPr="00390C45">
              <w:rPr>
                <w:rFonts w:ascii="Arial" w:hAnsi="Arial" w:cs="Arial"/>
                <w:sz w:val="24"/>
                <w:szCs w:val="24"/>
              </w:rPr>
              <w:t>. godine</w:t>
            </w:r>
          </w:p>
          <w:p w14:paraId="4C95B22F" w14:textId="77777777" w:rsidR="00390C45" w:rsidRPr="00390C45" w:rsidRDefault="00390C45" w:rsidP="00390C45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3A8F71" w14:textId="77777777" w:rsidR="00030FC9" w:rsidRPr="00030FC9" w:rsidRDefault="00000000" w:rsidP="00030FC9">
      <w:pPr>
        <w:jc w:val="both"/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sz w:val="24"/>
          <w:szCs w:val="24"/>
        </w:rPr>
        <w:t>Na temelju članka 22. Odluke o javnim i počasnim priznanjima Općine Matulji („Službene novine Primorsko-goranske županije“ br.35/2017, 26/21 i 40/23), Upravni odjel za samoupravu i upravu Općine Matulji objavljuje</w:t>
      </w:r>
    </w:p>
    <w:p w14:paraId="7C9DB7D7" w14:textId="77777777" w:rsidR="00030FC9" w:rsidRPr="00030FC9" w:rsidRDefault="00000000" w:rsidP="00390C45">
      <w:pPr>
        <w:contextualSpacing/>
        <w:jc w:val="center"/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b/>
          <w:bCs/>
          <w:sz w:val="24"/>
          <w:szCs w:val="24"/>
        </w:rPr>
        <w:t>J A V N I P O Z I V</w:t>
      </w:r>
    </w:p>
    <w:p w14:paraId="49A2B27C" w14:textId="77777777" w:rsidR="00030FC9" w:rsidRPr="00030FC9" w:rsidRDefault="00000000" w:rsidP="00390C45">
      <w:pPr>
        <w:contextualSpacing/>
        <w:jc w:val="center"/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b/>
          <w:bCs/>
          <w:sz w:val="24"/>
          <w:szCs w:val="24"/>
        </w:rPr>
        <w:t>ZA PODNOŠENJE PRIJEDLOGA ZA DODJELU</w:t>
      </w:r>
    </w:p>
    <w:p w14:paraId="01A610CC" w14:textId="77777777" w:rsidR="00030FC9" w:rsidRDefault="00000000" w:rsidP="00390C45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30FC9">
        <w:rPr>
          <w:rFonts w:ascii="Arial" w:hAnsi="Arial" w:cs="Arial"/>
          <w:b/>
          <w:bCs/>
          <w:sz w:val="24"/>
          <w:szCs w:val="24"/>
        </w:rPr>
        <w:t>JAVNIH I POČASNIH PRIZNANJA OPĆINE MATULJI ZA 2026. GODINU</w:t>
      </w:r>
    </w:p>
    <w:p w14:paraId="5ADF1C1A" w14:textId="77777777" w:rsidR="00030FC9" w:rsidRPr="00030FC9" w:rsidRDefault="00030FC9" w:rsidP="00030FC9">
      <w:pPr>
        <w:jc w:val="center"/>
        <w:rPr>
          <w:rFonts w:ascii="Arial" w:hAnsi="Arial" w:cs="Arial"/>
          <w:sz w:val="24"/>
          <w:szCs w:val="24"/>
        </w:rPr>
      </w:pPr>
    </w:p>
    <w:p w14:paraId="3C4601EA" w14:textId="77777777" w:rsidR="00030FC9" w:rsidRPr="00030FC9" w:rsidRDefault="00000000" w:rsidP="00030FC9">
      <w:pPr>
        <w:jc w:val="center"/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b/>
          <w:bCs/>
          <w:sz w:val="24"/>
          <w:szCs w:val="24"/>
        </w:rPr>
        <w:t>I.</w:t>
      </w:r>
    </w:p>
    <w:p w14:paraId="64C44599" w14:textId="77777777" w:rsidR="00030FC9" w:rsidRPr="00030FC9" w:rsidRDefault="00000000" w:rsidP="00030FC9">
      <w:pPr>
        <w:jc w:val="both"/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sz w:val="24"/>
          <w:szCs w:val="24"/>
        </w:rPr>
        <w:t xml:space="preserve">1. </w:t>
      </w:r>
      <w:r w:rsidRPr="00390C45">
        <w:rPr>
          <w:rFonts w:ascii="Arial" w:hAnsi="Arial" w:cs="Arial"/>
          <w:b/>
          <w:bCs/>
          <w:sz w:val="24"/>
          <w:szCs w:val="24"/>
        </w:rPr>
        <w:t>GODIŠNJA NAGRADA OPĆINE MATULJI</w:t>
      </w:r>
      <w:r w:rsidRPr="00030FC9">
        <w:rPr>
          <w:rFonts w:ascii="Arial" w:hAnsi="Arial" w:cs="Arial"/>
          <w:sz w:val="24"/>
          <w:szCs w:val="24"/>
        </w:rPr>
        <w:t xml:space="preserve"> dodjeljuje se fizičkim i pravnim osobama, za iznimna postignuća i doprinos od osobitog značenja u domeni gospodarstva, obrazovanja, znanosti, kulture, športa, tjelesne kulture, zdravstva, socijalne skrbi i drugih javnih djelatnosti od posebnog značaja za Općinu Matulji.</w:t>
      </w:r>
    </w:p>
    <w:p w14:paraId="58AEE562" w14:textId="77777777" w:rsidR="00030FC9" w:rsidRPr="00030FC9" w:rsidRDefault="00000000" w:rsidP="00030FC9">
      <w:pPr>
        <w:jc w:val="both"/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sz w:val="24"/>
          <w:szCs w:val="24"/>
        </w:rPr>
        <w:t xml:space="preserve">2. </w:t>
      </w:r>
      <w:r w:rsidRPr="00390C45">
        <w:rPr>
          <w:rFonts w:ascii="Arial" w:hAnsi="Arial" w:cs="Arial"/>
          <w:b/>
          <w:bCs/>
          <w:sz w:val="24"/>
          <w:szCs w:val="24"/>
        </w:rPr>
        <w:t>GRB OPĆINE MATULJI</w:t>
      </w:r>
      <w:r w:rsidRPr="00030FC9">
        <w:rPr>
          <w:rFonts w:ascii="Arial" w:hAnsi="Arial" w:cs="Arial"/>
          <w:sz w:val="24"/>
          <w:szCs w:val="24"/>
        </w:rPr>
        <w:t xml:space="preserve"> dodjeljuje se građanima Republike Hrvatske ili stranim državljanima koji su svojim radom, znanstvenim, političkim ili vjerskim djelovanjem značajno pridonijeli napretku i ugledu Općine.</w:t>
      </w:r>
    </w:p>
    <w:p w14:paraId="48A2C288" w14:textId="77777777" w:rsidR="00030FC9" w:rsidRDefault="00000000" w:rsidP="00030FC9">
      <w:pPr>
        <w:jc w:val="both"/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sz w:val="24"/>
          <w:szCs w:val="24"/>
        </w:rPr>
        <w:t xml:space="preserve">3. </w:t>
      </w:r>
      <w:r w:rsidRPr="00390C45">
        <w:rPr>
          <w:rFonts w:ascii="Arial" w:hAnsi="Arial" w:cs="Arial"/>
          <w:b/>
          <w:bCs/>
          <w:sz w:val="24"/>
          <w:szCs w:val="24"/>
        </w:rPr>
        <w:t>POVELJA POČASNOG GRAĐANINA OPĆINE MATULJI</w:t>
      </w:r>
      <w:r w:rsidRPr="00030FC9">
        <w:rPr>
          <w:rFonts w:ascii="Arial" w:hAnsi="Arial" w:cs="Arial"/>
          <w:sz w:val="24"/>
          <w:szCs w:val="24"/>
        </w:rPr>
        <w:t xml:space="preserve"> Počasnim građaninom Općine može se proglasiti građanin Republike Hrvatske ili strani državljanin koji je svojim radom, znanstvenim, političkim ili vjerskim djelovanjem značajno pridonio napretku i ugledu Općine, ostvarivanju i razvoju demokracije u Republici Hrvatskoj ili svijetu, mira u svijetu i napretku čovječanstva. Počasnim građaninom Općine Matulji ne može se proglasiti osoba koja ima prebivalište na području Općine.</w:t>
      </w:r>
    </w:p>
    <w:p w14:paraId="270DC4C2" w14:textId="77777777" w:rsidR="00030FC9" w:rsidRPr="00030FC9" w:rsidRDefault="00030FC9" w:rsidP="00030FC9">
      <w:pPr>
        <w:jc w:val="both"/>
        <w:rPr>
          <w:rFonts w:ascii="Arial" w:hAnsi="Arial" w:cs="Arial"/>
          <w:sz w:val="24"/>
          <w:szCs w:val="24"/>
        </w:rPr>
      </w:pPr>
    </w:p>
    <w:p w14:paraId="564208C9" w14:textId="77777777" w:rsidR="00030FC9" w:rsidRPr="00030FC9" w:rsidRDefault="00000000" w:rsidP="00030FC9">
      <w:pPr>
        <w:jc w:val="center"/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b/>
          <w:bCs/>
          <w:sz w:val="24"/>
          <w:szCs w:val="24"/>
        </w:rPr>
        <w:t>II.</w:t>
      </w:r>
    </w:p>
    <w:p w14:paraId="3E57FDB5" w14:textId="77777777" w:rsidR="00030FC9" w:rsidRPr="00030FC9" w:rsidRDefault="00000000" w:rsidP="00030FC9">
      <w:pPr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sz w:val="24"/>
          <w:szCs w:val="24"/>
        </w:rPr>
        <w:t>Prijedlog za dodjelu javnih i počasnih priznanja iz točke I. ovog Javnog poziva mogu dati:</w:t>
      </w:r>
    </w:p>
    <w:p w14:paraId="50ACD7CD" w14:textId="77777777" w:rsidR="00030FC9" w:rsidRPr="00030FC9" w:rsidRDefault="00000000" w:rsidP="00030FC9">
      <w:pPr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sz w:val="24"/>
          <w:szCs w:val="24"/>
        </w:rPr>
        <w:t>– udruge građana sa sjedištem na području Općine Matulji</w:t>
      </w:r>
    </w:p>
    <w:p w14:paraId="11DFC584" w14:textId="77777777" w:rsidR="00030FC9" w:rsidRPr="00030FC9" w:rsidRDefault="00000000" w:rsidP="00030FC9">
      <w:pPr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sz w:val="24"/>
          <w:szCs w:val="24"/>
        </w:rPr>
        <w:t>– grupa od najmanje 10 građana s prebivalištem na području Općine Matulji</w:t>
      </w:r>
    </w:p>
    <w:p w14:paraId="50A91DF6" w14:textId="77777777" w:rsidR="00030FC9" w:rsidRPr="00030FC9" w:rsidRDefault="00000000" w:rsidP="00030FC9">
      <w:pPr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sz w:val="24"/>
          <w:szCs w:val="24"/>
        </w:rPr>
        <w:lastRenderedPageBreak/>
        <w:t>– pravne osobe koje imaju sjedište na području Općine Matulji</w:t>
      </w:r>
    </w:p>
    <w:p w14:paraId="02EF4B60" w14:textId="77777777" w:rsidR="00030FC9" w:rsidRPr="00030FC9" w:rsidRDefault="00000000" w:rsidP="00030FC9">
      <w:pPr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sz w:val="24"/>
          <w:szCs w:val="24"/>
        </w:rPr>
        <w:t>– udruženja pravnih osoba ili obrta te udruge građana koje imaju sjedište na području Primorsko-goranske županije, a koje svojim aktivnostima djeluju i na području Općine Matulji</w:t>
      </w:r>
      <w:r w:rsidR="00EB7954">
        <w:rPr>
          <w:rFonts w:ascii="Arial" w:hAnsi="Arial" w:cs="Arial"/>
          <w:sz w:val="24"/>
          <w:szCs w:val="24"/>
        </w:rPr>
        <w:t>.</w:t>
      </w:r>
    </w:p>
    <w:p w14:paraId="312B4FA8" w14:textId="77777777" w:rsidR="00030FC9" w:rsidRPr="00030FC9" w:rsidRDefault="00030FC9" w:rsidP="00030FC9">
      <w:pPr>
        <w:rPr>
          <w:rFonts w:ascii="Arial" w:hAnsi="Arial" w:cs="Arial"/>
          <w:b/>
          <w:bCs/>
          <w:sz w:val="24"/>
          <w:szCs w:val="24"/>
        </w:rPr>
      </w:pPr>
    </w:p>
    <w:p w14:paraId="659BB932" w14:textId="77777777" w:rsidR="00030FC9" w:rsidRPr="00030FC9" w:rsidRDefault="00000000" w:rsidP="00030FC9">
      <w:pPr>
        <w:jc w:val="center"/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b/>
          <w:bCs/>
          <w:sz w:val="24"/>
          <w:szCs w:val="24"/>
        </w:rPr>
        <w:t>III.</w:t>
      </w:r>
    </w:p>
    <w:p w14:paraId="221CA9DA" w14:textId="77777777" w:rsidR="00030FC9" w:rsidRPr="00030FC9" w:rsidRDefault="00000000" w:rsidP="00030FC9">
      <w:pPr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sz w:val="24"/>
          <w:szCs w:val="24"/>
        </w:rPr>
        <w:t>Prijedlog za dodjelu javnih i počasnih priznanja mora sadržavati:</w:t>
      </w:r>
    </w:p>
    <w:p w14:paraId="40ACDF3F" w14:textId="77777777" w:rsidR="00030FC9" w:rsidRPr="00030FC9" w:rsidRDefault="00000000" w:rsidP="00030FC9">
      <w:pPr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sz w:val="24"/>
          <w:szCs w:val="24"/>
        </w:rPr>
        <w:t>– ime i prezime, odnosno naziv predlagatelja</w:t>
      </w:r>
    </w:p>
    <w:p w14:paraId="42FD3F90" w14:textId="77777777" w:rsidR="00030FC9" w:rsidRPr="00030FC9" w:rsidRDefault="00000000" w:rsidP="00030FC9">
      <w:pPr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sz w:val="24"/>
          <w:szCs w:val="24"/>
        </w:rPr>
        <w:t>– prebivalište, odnosno sjedište predlagatelja</w:t>
      </w:r>
    </w:p>
    <w:p w14:paraId="087C62B0" w14:textId="77777777" w:rsidR="00030FC9" w:rsidRPr="00030FC9" w:rsidRDefault="00000000" w:rsidP="00030FC9">
      <w:pPr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sz w:val="24"/>
          <w:szCs w:val="24"/>
        </w:rPr>
        <w:t>– ime i prezime, odnosno naziv osobe koja se predlaže za javno priznanje</w:t>
      </w:r>
    </w:p>
    <w:p w14:paraId="26E2B894" w14:textId="77777777" w:rsidR="00030FC9" w:rsidRPr="00030FC9" w:rsidRDefault="00000000" w:rsidP="00030FC9">
      <w:pPr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sz w:val="24"/>
          <w:szCs w:val="24"/>
        </w:rPr>
        <w:t>– vrstu priznanja i područje za koje se predlaže</w:t>
      </w:r>
    </w:p>
    <w:p w14:paraId="62CFD9E9" w14:textId="77777777" w:rsidR="00030FC9" w:rsidRPr="00030FC9" w:rsidRDefault="00000000" w:rsidP="00030FC9">
      <w:pPr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sz w:val="24"/>
          <w:szCs w:val="24"/>
        </w:rPr>
        <w:t>– životopis kandidata do jedne stranice</w:t>
      </w:r>
    </w:p>
    <w:p w14:paraId="5AE798CF" w14:textId="77777777" w:rsidR="00030FC9" w:rsidRPr="00030FC9" w:rsidRDefault="00000000" w:rsidP="00030FC9">
      <w:pPr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sz w:val="24"/>
          <w:szCs w:val="24"/>
        </w:rPr>
        <w:t>– obrazloženje postignuća i doprinosa zbog kojih se daje prijedlog za kandidata za dodjelu javnih priznanja do dvije stranice.</w:t>
      </w:r>
    </w:p>
    <w:p w14:paraId="01DE1CE3" w14:textId="77777777" w:rsidR="00030FC9" w:rsidRPr="00030FC9" w:rsidRDefault="00000000" w:rsidP="00030FC9">
      <w:pPr>
        <w:jc w:val="both"/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sz w:val="24"/>
          <w:szCs w:val="24"/>
        </w:rPr>
        <w:t>Na zahtjev Odbora za izbor i imenovanja Općinskog vijeća Općine Matulji podnositelj prijedloga dužan je dostaviti i naknadno zatražene dopunske podatke i dokumentaciju (objavljene radove, analize, prikaze, stručne kritike i ocjene, natjecateljske rezultate i sl.) kojom se potvrđuju navodi iz prijedloga.</w:t>
      </w:r>
    </w:p>
    <w:p w14:paraId="4106E238" w14:textId="77777777" w:rsidR="00030FC9" w:rsidRDefault="00030FC9" w:rsidP="00030FC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0214933" w14:textId="77777777" w:rsidR="00030FC9" w:rsidRPr="00030FC9" w:rsidRDefault="00000000" w:rsidP="00030FC9">
      <w:pPr>
        <w:jc w:val="center"/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b/>
          <w:bCs/>
          <w:sz w:val="24"/>
          <w:szCs w:val="24"/>
        </w:rPr>
        <w:t>IV.</w:t>
      </w:r>
    </w:p>
    <w:p w14:paraId="5802059D" w14:textId="77777777" w:rsidR="00030FC9" w:rsidRPr="00030FC9" w:rsidRDefault="00000000" w:rsidP="00030FC9">
      <w:pPr>
        <w:jc w:val="both"/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sz w:val="24"/>
          <w:szCs w:val="24"/>
        </w:rPr>
        <w:t>Prijedlozi za dodjelu priznanja s potrebnom dokumentacijom dostavljaju se poštom ili predaju osobno u zatvorenoj koverti na adresu OPĆINA MATULJI, Matulji, Trg M. Tita 11, s naznakom «JAVNI POZIV ZA PODNOŠENJE PRIJEDLOGA ZA DODJELU JAVNIH I POČASNIH PRIZNANJA OPĆINE MATULJI ZA 202</w:t>
      </w:r>
      <w:r w:rsidR="000E3D1E">
        <w:rPr>
          <w:rFonts w:ascii="Arial" w:hAnsi="Arial" w:cs="Arial"/>
          <w:sz w:val="24"/>
          <w:szCs w:val="24"/>
        </w:rPr>
        <w:t>6</w:t>
      </w:r>
      <w:r w:rsidRPr="00030FC9">
        <w:rPr>
          <w:rFonts w:ascii="Arial" w:hAnsi="Arial" w:cs="Arial"/>
          <w:sz w:val="24"/>
          <w:szCs w:val="24"/>
        </w:rPr>
        <w:t xml:space="preserve">. g.– NE OTVARATI». Rok za podnošenje prijedloga ističe </w:t>
      </w:r>
      <w:r w:rsidR="00545259">
        <w:rPr>
          <w:rFonts w:ascii="Arial" w:hAnsi="Arial" w:cs="Arial"/>
          <w:sz w:val="24"/>
          <w:szCs w:val="24"/>
        </w:rPr>
        <w:t>07</w:t>
      </w:r>
      <w:r w:rsidRPr="00030FC9">
        <w:rPr>
          <w:rFonts w:ascii="Arial" w:hAnsi="Arial" w:cs="Arial"/>
          <w:sz w:val="24"/>
          <w:szCs w:val="24"/>
        </w:rPr>
        <w:t>. siječnja 202</w:t>
      </w:r>
      <w:r w:rsidR="000E3D1E">
        <w:rPr>
          <w:rFonts w:ascii="Arial" w:hAnsi="Arial" w:cs="Arial"/>
          <w:sz w:val="24"/>
          <w:szCs w:val="24"/>
        </w:rPr>
        <w:t>6</w:t>
      </w:r>
      <w:r w:rsidRPr="00030FC9">
        <w:rPr>
          <w:rFonts w:ascii="Arial" w:hAnsi="Arial" w:cs="Arial"/>
          <w:sz w:val="24"/>
          <w:szCs w:val="24"/>
        </w:rPr>
        <w:t xml:space="preserve">. godine. Prijedlozi koji se ne dostave do </w:t>
      </w:r>
      <w:r w:rsidR="00EB7954">
        <w:rPr>
          <w:rFonts w:ascii="Arial" w:hAnsi="Arial" w:cs="Arial"/>
          <w:sz w:val="24"/>
          <w:szCs w:val="24"/>
        </w:rPr>
        <w:t>07</w:t>
      </w:r>
      <w:r w:rsidRPr="00030FC9">
        <w:rPr>
          <w:rFonts w:ascii="Arial" w:hAnsi="Arial" w:cs="Arial"/>
          <w:sz w:val="24"/>
          <w:szCs w:val="24"/>
        </w:rPr>
        <w:t>. siječnja 202</w:t>
      </w:r>
      <w:r w:rsidR="000E3D1E">
        <w:rPr>
          <w:rFonts w:ascii="Arial" w:hAnsi="Arial" w:cs="Arial"/>
          <w:sz w:val="24"/>
          <w:szCs w:val="24"/>
        </w:rPr>
        <w:t>6</w:t>
      </w:r>
      <w:r w:rsidRPr="00030FC9">
        <w:rPr>
          <w:rFonts w:ascii="Arial" w:hAnsi="Arial" w:cs="Arial"/>
          <w:sz w:val="24"/>
          <w:szCs w:val="24"/>
        </w:rPr>
        <w:t>. god, odnosno koji na omotnici imaju žig pošte s kasnijim datumom, ne uzimaju se u razmatranje.</w:t>
      </w:r>
    </w:p>
    <w:p w14:paraId="609E3AF0" w14:textId="77777777" w:rsidR="00030FC9" w:rsidRPr="00030FC9" w:rsidRDefault="00000000" w:rsidP="00030FC9">
      <w:pPr>
        <w:spacing w:after="0"/>
        <w:ind w:left="5664"/>
        <w:contextualSpacing/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</w:t>
      </w:r>
      <w:r w:rsidRPr="00030FC9">
        <w:rPr>
          <w:rFonts w:ascii="Arial" w:hAnsi="Arial" w:cs="Arial"/>
          <w:sz w:val="24"/>
          <w:szCs w:val="24"/>
        </w:rPr>
        <w:t>Službeni</w:t>
      </w:r>
      <w:r w:rsidR="00390C45">
        <w:rPr>
          <w:rFonts w:ascii="Arial" w:hAnsi="Arial" w:cs="Arial"/>
          <w:sz w:val="24"/>
          <w:szCs w:val="24"/>
        </w:rPr>
        <w:t>ca</w:t>
      </w:r>
      <w:r w:rsidRPr="00030FC9">
        <w:rPr>
          <w:rFonts w:ascii="Arial" w:hAnsi="Arial" w:cs="Arial"/>
          <w:sz w:val="24"/>
          <w:szCs w:val="24"/>
        </w:rPr>
        <w:t xml:space="preserve"> ovlašten</w:t>
      </w:r>
      <w:r w:rsidR="00390C45">
        <w:rPr>
          <w:rFonts w:ascii="Arial" w:hAnsi="Arial" w:cs="Arial"/>
          <w:sz w:val="24"/>
          <w:szCs w:val="24"/>
        </w:rPr>
        <w:t>a</w:t>
      </w:r>
      <w:r w:rsidRPr="00030FC9">
        <w:rPr>
          <w:rFonts w:ascii="Arial" w:hAnsi="Arial" w:cs="Arial"/>
          <w:sz w:val="24"/>
          <w:szCs w:val="24"/>
        </w:rPr>
        <w:t xml:space="preserve"> </w:t>
      </w:r>
    </w:p>
    <w:p w14:paraId="31480066" w14:textId="77777777" w:rsidR="00030FC9" w:rsidRDefault="00000000" w:rsidP="00030FC9">
      <w:pPr>
        <w:spacing w:after="0"/>
        <w:ind w:left="566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030FC9">
        <w:rPr>
          <w:rFonts w:ascii="Arial" w:hAnsi="Arial" w:cs="Arial"/>
          <w:sz w:val="24"/>
          <w:szCs w:val="24"/>
        </w:rPr>
        <w:t>za privremeno obavljanje</w:t>
      </w:r>
    </w:p>
    <w:p w14:paraId="32442285" w14:textId="77777777" w:rsidR="00030FC9" w:rsidRDefault="00000000" w:rsidP="00030FC9">
      <w:pPr>
        <w:spacing w:after="0"/>
        <w:ind w:left="566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030FC9">
        <w:rPr>
          <w:rFonts w:ascii="Arial" w:hAnsi="Arial" w:cs="Arial"/>
          <w:sz w:val="24"/>
          <w:szCs w:val="24"/>
        </w:rPr>
        <w:t>poslova pročelnika</w:t>
      </w:r>
    </w:p>
    <w:p w14:paraId="7AED1D82" w14:textId="77777777" w:rsidR="00030FC9" w:rsidRPr="00030FC9" w:rsidRDefault="00030FC9" w:rsidP="00030FC9">
      <w:pPr>
        <w:spacing w:after="0"/>
        <w:ind w:left="5664"/>
        <w:contextualSpacing/>
        <w:rPr>
          <w:rFonts w:ascii="Arial" w:hAnsi="Arial" w:cs="Arial"/>
          <w:sz w:val="24"/>
          <w:szCs w:val="24"/>
        </w:rPr>
      </w:pPr>
    </w:p>
    <w:p w14:paraId="7591F238" w14:textId="5C2981DE" w:rsidR="00030FC9" w:rsidRPr="00030FC9" w:rsidRDefault="00000000" w:rsidP="00030FC9">
      <w:pPr>
        <w:spacing w:after="0"/>
        <w:ind w:left="5664" w:firstLine="708"/>
        <w:contextualSpacing/>
        <w:rPr>
          <w:rFonts w:ascii="Arial" w:hAnsi="Arial" w:cs="Arial"/>
          <w:sz w:val="24"/>
          <w:szCs w:val="24"/>
        </w:rPr>
      </w:pPr>
      <w:r w:rsidRPr="00030FC9">
        <w:rPr>
          <w:rFonts w:ascii="Arial" w:hAnsi="Arial" w:cs="Arial"/>
          <w:sz w:val="24"/>
          <w:szCs w:val="24"/>
        </w:rPr>
        <w:t xml:space="preserve"> Irena Gauš</w:t>
      </w:r>
      <w:r w:rsidR="001973E7">
        <w:rPr>
          <w:rFonts w:ascii="Arial" w:hAnsi="Arial" w:cs="Arial"/>
          <w:sz w:val="24"/>
          <w:szCs w:val="24"/>
        </w:rPr>
        <w:t xml:space="preserve"> v.r.</w:t>
      </w:r>
    </w:p>
    <w:p w14:paraId="7B06410E" w14:textId="77777777" w:rsidR="00E00B91" w:rsidRPr="00030FC9" w:rsidRDefault="00E00B91" w:rsidP="00030FC9">
      <w:pPr>
        <w:spacing w:after="0"/>
        <w:contextualSpacing/>
        <w:rPr>
          <w:rFonts w:ascii="Arial" w:hAnsi="Arial" w:cs="Arial"/>
          <w:sz w:val="24"/>
          <w:szCs w:val="24"/>
        </w:rPr>
      </w:pPr>
    </w:p>
    <w:sectPr w:rsidR="00E00B91" w:rsidRPr="00030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25977"/>
    <w:multiLevelType w:val="hybridMultilevel"/>
    <w:tmpl w:val="EC16BF4A"/>
    <w:lvl w:ilvl="0" w:tplc="23640FA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BFAC2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AEC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65D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865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C4F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893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26B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9C88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8136D"/>
    <w:multiLevelType w:val="multilevel"/>
    <w:tmpl w:val="00E6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432409">
    <w:abstractNumId w:val="0"/>
  </w:num>
  <w:num w:numId="2" w16cid:durableId="1786650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91"/>
    <w:rsid w:val="00030FC9"/>
    <w:rsid w:val="00080C62"/>
    <w:rsid w:val="000E3D1E"/>
    <w:rsid w:val="001576A0"/>
    <w:rsid w:val="001973E7"/>
    <w:rsid w:val="00266809"/>
    <w:rsid w:val="00390C45"/>
    <w:rsid w:val="005009BE"/>
    <w:rsid w:val="00510860"/>
    <w:rsid w:val="00544B5F"/>
    <w:rsid w:val="00545259"/>
    <w:rsid w:val="00847551"/>
    <w:rsid w:val="00961DAA"/>
    <w:rsid w:val="00A44C84"/>
    <w:rsid w:val="00B837DE"/>
    <w:rsid w:val="00C9182D"/>
    <w:rsid w:val="00E00B91"/>
    <w:rsid w:val="00EB7954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73FDF"/>
  <w15:chartTrackingRefBased/>
  <w15:docId w15:val="{0268C384-8CEA-48E9-B82F-09DB13B8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00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0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0B9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0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0B9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0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0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0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0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0B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0B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0B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0B91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0B91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0B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0B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0B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0B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00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0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0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0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0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0B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00B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0B91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0B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0B91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00B91"/>
    <w:rPr>
      <w:b/>
      <w:bCs/>
      <w:smallCaps/>
      <w:color w:val="2E74B5" w:themeColor="accent1" w:themeShade="BF"/>
      <w:spacing w:val="5"/>
    </w:rPr>
  </w:style>
  <w:style w:type="table" w:styleId="Reetkatablice">
    <w:name w:val="Table Grid"/>
    <w:basedOn w:val="Obinatablica"/>
    <w:uiPriority w:val="39"/>
    <w:rsid w:val="0039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Smiljana Veselinović</dc:creator>
  <cp:lastModifiedBy>Diana Grbac Lazar</cp:lastModifiedBy>
  <cp:revision>3</cp:revision>
  <cp:lastPrinted>2025-12-05T07:12:00Z</cp:lastPrinted>
  <dcterms:created xsi:type="dcterms:W3CDTF">2025-12-05T11:46:00Z</dcterms:created>
  <dcterms:modified xsi:type="dcterms:W3CDTF">2025-12-05T11:46:00Z</dcterms:modified>
</cp:coreProperties>
</file>