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67631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4E34F42F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212FE01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7E36C1D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EC69483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75917C36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501CD46A" w14:textId="77777777" w:rsidR="00334011" w:rsidRPr="00490550" w:rsidRDefault="00334011" w:rsidP="00334011">
      <w:pPr>
        <w:jc w:val="center"/>
        <w:rPr>
          <w:rFonts w:ascii="Times New Roman" w:hAnsi="Times New Roman" w:cs="Times New Roman"/>
          <w:sz w:val="36"/>
          <w:szCs w:val="36"/>
        </w:rPr>
      </w:pPr>
    </w:p>
    <w:p w14:paraId="16DD625F" w14:textId="77777777" w:rsidR="00334011" w:rsidRPr="007B2AE7" w:rsidRDefault="00334011" w:rsidP="00334011">
      <w:pPr>
        <w:jc w:val="center"/>
        <w:rPr>
          <w:rFonts w:ascii="Times New Roman" w:hAnsi="Times New Roman" w:cs="Times New Roman"/>
          <w:color w:val="2F5496" w:themeColor="accent1" w:themeShade="BF"/>
          <w:sz w:val="36"/>
          <w:szCs w:val="36"/>
        </w:rPr>
      </w:pPr>
    </w:p>
    <w:p w14:paraId="40000F26" w14:textId="44BDAD44" w:rsidR="00FC11A9" w:rsidRPr="007B2AE7" w:rsidRDefault="00334011" w:rsidP="00FC11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 w:rsidRPr="007B2AE7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GODIŠNJE IZVJEŠĆE O PROVEDBI PROVEDBENOG PROGRAMA </w:t>
      </w:r>
      <w:r w:rsidR="00FC11A9" w:rsidRPr="007B2AE7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 xml:space="preserve">OPĆINE MATULJI </w:t>
      </w:r>
    </w:p>
    <w:p w14:paraId="66FCEF53" w14:textId="7DECB5AB" w:rsidR="004106EC" w:rsidRPr="007B2AE7" w:rsidRDefault="00334011" w:rsidP="00FC11A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</w:pPr>
      <w:r w:rsidRPr="007B2AE7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>ZA 202</w:t>
      </w:r>
      <w:r w:rsidR="009F6B79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>4</w:t>
      </w:r>
      <w:r w:rsidRPr="007B2AE7">
        <w:rPr>
          <w:rFonts w:ascii="Times New Roman" w:hAnsi="Times New Roman" w:cs="Times New Roman"/>
          <w:b/>
          <w:bCs/>
          <w:color w:val="2F5496" w:themeColor="accent1" w:themeShade="BF"/>
          <w:sz w:val="36"/>
          <w:szCs w:val="36"/>
        </w:rPr>
        <w:t>. GODINU</w:t>
      </w:r>
    </w:p>
    <w:p w14:paraId="1CBE2DA1" w14:textId="46E939A0" w:rsidR="00334011" w:rsidRPr="007B2AE7" w:rsidRDefault="00334011">
      <w:pPr>
        <w:rPr>
          <w:rFonts w:ascii="Times New Roman" w:hAnsi="Times New Roman" w:cs="Times New Roman"/>
          <w:b/>
          <w:bCs/>
          <w:color w:val="2F5496" w:themeColor="accent1" w:themeShade="BF"/>
        </w:rPr>
      </w:pPr>
    </w:p>
    <w:p w14:paraId="7C549B8B" w14:textId="00106895" w:rsidR="00334011" w:rsidRDefault="00334011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  <w:r w:rsidRPr="007B2AE7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  <w:t>NOSITELJ IZRADE: OPĆINA MATULJI</w:t>
      </w:r>
    </w:p>
    <w:p w14:paraId="1088D826" w14:textId="6CD8F03C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598531C3" w14:textId="65D2F94D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69B2FBA7" w14:textId="126D191A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7E68AF57" w14:textId="111BA5F4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6CBA332A" w14:textId="3E49D4EF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317AA646" w14:textId="49498FEA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2622DE99" w14:textId="22C25E36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15A5142A" w14:textId="79033ADD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0BF6258D" w14:textId="7D0B5009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360A63DA" w14:textId="47A58254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3385AC14" w14:textId="2A2753C2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41C500CF" w14:textId="3DBCDC0B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1152597B" w14:textId="1F3F821A" w:rsidR="00941026" w:rsidRDefault="00941026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</w:p>
    <w:p w14:paraId="626EDEAF" w14:textId="5EEF43D0" w:rsidR="00941026" w:rsidRDefault="00E952AE" w:rsidP="00334011">
      <w:pPr>
        <w:jc w:val="center"/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  <w:t>Veljača</w:t>
      </w:r>
      <w:r w:rsidR="00941026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  <w:t xml:space="preserve"> 202</w:t>
      </w:r>
      <w:r w:rsidR="009F6B79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  <w:t>5</w:t>
      </w:r>
      <w:r w:rsidR="00941026">
        <w:rPr>
          <w:rFonts w:ascii="Times New Roman" w:hAnsi="Times New Roman" w:cs="Times New Roman"/>
          <w:b/>
          <w:bCs/>
          <w:color w:val="2F5496" w:themeColor="accent1" w:themeShade="BF"/>
          <w:sz w:val="28"/>
          <w:szCs w:val="28"/>
        </w:rPr>
        <w:t>.</w:t>
      </w:r>
    </w:p>
    <w:p w14:paraId="5B9C4711" w14:textId="29987754" w:rsidR="00345D23" w:rsidRPr="00490550" w:rsidRDefault="00FC11A9" w:rsidP="0022075F">
      <w:pPr>
        <w:pStyle w:val="Naslov1"/>
        <w:rPr>
          <w:rFonts w:ascii="Times New Roman" w:hAnsi="Times New Roman" w:cs="Times New Roman"/>
        </w:rPr>
      </w:pPr>
      <w:r w:rsidRPr="00490550">
        <w:br w:type="page"/>
      </w:r>
      <w:r w:rsidR="00345D23" w:rsidRPr="007B2AE7">
        <w:rPr>
          <w:rFonts w:ascii="Times New Roman" w:hAnsi="Times New Roman" w:cs="Times New Roman"/>
        </w:rPr>
        <w:lastRenderedPageBreak/>
        <w:t>UVOD</w:t>
      </w:r>
    </w:p>
    <w:p w14:paraId="59D71E55" w14:textId="77777777" w:rsidR="00345D23" w:rsidRPr="00490550" w:rsidRDefault="00345D23" w:rsidP="00345D23">
      <w:pPr>
        <w:rPr>
          <w:rFonts w:ascii="Times New Roman" w:hAnsi="Times New Roman" w:cs="Times New Roman"/>
          <w:sz w:val="24"/>
          <w:szCs w:val="24"/>
        </w:rPr>
      </w:pPr>
    </w:p>
    <w:p w14:paraId="27D18C8E" w14:textId="79252FC1" w:rsidR="00345D23" w:rsidRPr="00490550" w:rsidRDefault="00345D23" w:rsidP="008412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Općina Matulji je sukladno Zakonu o sustavu strateškog planiranja i upravljanja razvojem Republike Hrvatske („Narodne novine“ broj 123/17) donijela kratkoročni akt strateškog planiranja - Provedbeni Program Općine Matulji za razdoblje 2021. </w:t>
      </w:r>
      <w:r w:rsidR="0022075F" w:rsidRPr="00490550">
        <w:rPr>
          <w:rFonts w:ascii="Times New Roman" w:hAnsi="Times New Roman" w:cs="Times New Roman"/>
          <w:sz w:val="24"/>
          <w:szCs w:val="24"/>
        </w:rPr>
        <w:t>-</w:t>
      </w:r>
      <w:r w:rsidRPr="00490550">
        <w:rPr>
          <w:rFonts w:ascii="Times New Roman" w:hAnsi="Times New Roman" w:cs="Times New Roman"/>
          <w:sz w:val="24"/>
          <w:szCs w:val="24"/>
        </w:rPr>
        <w:t xml:space="preserve"> 2025. godine.</w:t>
      </w:r>
    </w:p>
    <w:p w14:paraId="2D09E73F" w14:textId="6E994C04" w:rsidR="00345D23" w:rsidRPr="00490550" w:rsidRDefault="00345D23" w:rsidP="008412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U donesenom Provedbenom programu definirani su prioriteti na način da su u skladu s prioritetima Plana razvoja Primorsko-goranske županije za razdoblje 2022.-2027. te sukladno ciljevima Nacionalne razvojne strategije Republike Hrvatske do 2030. godine.</w:t>
      </w:r>
      <w:r w:rsidR="00435055" w:rsidRPr="00490550">
        <w:rPr>
          <w:rFonts w:ascii="Times New Roman" w:hAnsi="Times New Roman" w:cs="Times New Roman"/>
          <w:sz w:val="24"/>
          <w:szCs w:val="24"/>
        </w:rPr>
        <w:t xml:space="preserve"> </w:t>
      </w:r>
      <w:r w:rsidRPr="00490550">
        <w:rPr>
          <w:rFonts w:ascii="Times New Roman" w:hAnsi="Times New Roman" w:cs="Times New Roman"/>
          <w:sz w:val="24"/>
          <w:szCs w:val="24"/>
        </w:rPr>
        <w:t xml:space="preserve">Tako su određena četiri prioritetna područja na temelju kojih su mjere raspoređene po odabranim ciljevima. </w:t>
      </w:r>
    </w:p>
    <w:p w14:paraId="6FF9368C" w14:textId="7E110CE3" w:rsidR="00345D23" w:rsidRPr="00490550" w:rsidRDefault="002D71E5" w:rsidP="008412C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22075F" w:rsidRPr="00490550">
        <w:rPr>
          <w:rFonts w:ascii="Times New Roman" w:hAnsi="Times New Roman" w:cs="Times New Roman"/>
          <w:sz w:val="24"/>
          <w:szCs w:val="24"/>
        </w:rPr>
        <w:t xml:space="preserve">odišnje izvješće o provedbi Provedbenog programa </w:t>
      </w:r>
      <w:r w:rsidR="00345D23" w:rsidRPr="00490550">
        <w:rPr>
          <w:rFonts w:ascii="Times New Roman" w:hAnsi="Times New Roman" w:cs="Times New Roman"/>
          <w:sz w:val="24"/>
          <w:szCs w:val="24"/>
        </w:rPr>
        <w:t xml:space="preserve">izrađeno je na temelju </w:t>
      </w:r>
      <w:r w:rsidR="00E21605" w:rsidRPr="00490550">
        <w:rPr>
          <w:rFonts w:ascii="Times New Roman" w:hAnsi="Times New Roman" w:cs="Times New Roman"/>
          <w:sz w:val="24"/>
          <w:szCs w:val="24"/>
        </w:rPr>
        <w:t>članka</w:t>
      </w:r>
      <w:r w:rsidR="00345D23" w:rsidRPr="00490550">
        <w:rPr>
          <w:rFonts w:ascii="Times New Roman" w:hAnsi="Times New Roman" w:cs="Times New Roman"/>
          <w:sz w:val="24"/>
          <w:szCs w:val="24"/>
        </w:rPr>
        <w:t xml:space="preserve"> 26. Zakona o strateškom planiranju i upravljanju razvojem Republike Hrvatske kojim je propisano da jedinica lokalne samouprave izvješćuje putem lokalnog koordinatora godišnje regionalnog koordinatora o provedbi provedbenog te u skladu s </w:t>
      </w:r>
      <w:r w:rsidR="00E952AE" w:rsidRPr="00E952AE">
        <w:rPr>
          <w:rFonts w:ascii="Times New Roman" w:hAnsi="Times New Roman" w:cs="Times New Roman"/>
          <w:sz w:val="24"/>
          <w:szCs w:val="24"/>
        </w:rPr>
        <w:t>Pravilnik</w:t>
      </w:r>
      <w:r w:rsidR="00E952AE">
        <w:rPr>
          <w:rFonts w:ascii="Times New Roman" w:hAnsi="Times New Roman" w:cs="Times New Roman"/>
          <w:sz w:val="24"/>
          <w:szCs w:val="24"/>
        </w:rPr>
        <w:t xml:space="preserve">om </w:t>
      </w:r>
      <w:r w:rsidR="00E952AE" w:rsidRPr="00E952AE">
        <w:rPr>
          <w:rFonts w:ascii="Times New Roman" w:hAnsi="Times New Roman" w:cs="Times New Roman"/>
          <w:sz w:val="24"/>
          <w:szCs w:val="24"/>
        </w:rPr>
        <w:t xml:space="preserve">o rokovima i postupcima praćenja i izvješćivanja o provedbi akata strateškog planiranja od nacionalnog značaja i od značaja za jedinice lokalne i područne (regionalne) samouprave </w:t>
      </w:r>
      <w:r w:rsidR="00345D23" w:rsidRPr="00490550">
        <w:rPr>
          <w:rFonts w:ascii="Times New Roman" w:hAnsi="Times New Roman" w:cs="Times New Roman"/>
          <w:sz w:val="24"/>
          <w:szCs w:val="24"/>
        </w:rPr>
        <w:t xml:space="preserve">(„Narodne novine“ broj </w:t>
      </w:r>
      <w:r w:rsidR="00E952AE">
        <w:rPr>
          <w:rFonts w:ascii="Times New Roman" w:hAnsi="Times New Roman" w:cs="Times New Roman"/>
          <w:sz w:val="24"/>
          <w:szCs w:val="24"/>
        </w:rPr>
        <w:t>44</w:t>
      </w:r>
      <w:r w:rsidR="00345D23" w:rsidRPr="00490550">
        <w:rPr>
          <w:rFonts w:ascii="Times New Roman" w:hAnsi="Times New Roman" w:cs="Times New Roman"/>
          <w:sz w:val="24"/>
          <w:szCs w:val="24"/>
        </w:rPr>
        <w:t>/</w:t>
      </w:r>
      <w:r w:rsidR="00E952AE">
        <w:rPr>
          <w:rFonts w:ascii="Times New Roman" w:hAnsi="Times New Roman" w:cs="Times New Roman"/>
          <w:sz w:val="24"/>
          <w:szCs w:val="24"/>
        </w:rPr>
        <w:t>23</w:t>
      </w:r>
      <w:r w:rsidR="00345D23" w:rsidRPr="00490550">
        <w:rPr>
          <w:rFonts w:ascii="Times New Roman" w:hAnsi="Times New Roman" w:cs="Times New Roman"/>
          <w:sz w:val="24"/>
          <w:szCs w:val="24"/>
        </w:rPr>
        <w:t>), Priručnikom o strateškom planiranju (Verzija: 3.0,  Svibanj 2020., Ministarstvo regionalnoga razvoja i fondova Europske unije) te Uputama za izradu polugodišnjeg i godišnjeg izvješća o provedbi provedbenog programa jedinica lokalne i područne (regionalne) samouprave (Dokument: UI-PGI/PP-2 Inačica: 1.0, lipanj 2022., Ministarstvo regionalnoga razvoja i fondova Europske unije).</w:t>
      </w:r>
    </w:p>
    <w:p w14:paraId="03970DB6" w14:textId="2FA05C47" w:rsidR="00345D23" w:rsidRPr="00490550" w:rsidRDefault="00E21605" w:rsidP="008412CE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90550">
        <w:rPr>
          <w:rFonts w:ascii="Times New Roman" w:hAnsi="Times New Roman" w:cs="Times New Roman"/>
          <w:sz w:val="24"/>
          <w:szCs w:val="24"/>
        </w:rPr>
        <w:t>Ovo izvješće</w:t>
      </w:r>
      <w:r w:rsidR="00345D23" w:rsidRPr="00490550">
        <w:rPr>
          <w:rFonts w:ascii="Times New Roman" w:hAnsi="Times New Roman" w:cs="Times New Roman"/>
          <w:sz w:val="24"/>
          <w:szCs w:val="24"/>
        </w:rPr>
        <w:t xml:space="preserve"> o provedbi </w:t>
      </w:r>
      <w:r w:rsidR="00687A54" w:rsidRPr="00490550">
        <w:rPr>
          <w:rFonts w:ascii="Times New Roman" w:hAnsi="Times New Roman" w:cs="Times New Roman"/>
          <w:sz w:val="24"/>
          <w:szCs w:val="24"/>
        </w:rPr>
        <w:t>P</w:t>
      </w:r>
      <w:r w:rsidR="00345D23" w:rsidRPr="00490550">
        <w:rPr>
          <w:rFonts w:ascii="Times New Roman" w:hAnsi="Times New Roman" w:cs="Times New Roman"/>
          <w:sz w:val="24"/>
          <w:szCs w:val="24"/>
        </w:rPr>
        <w:t>rovedbenog programa je izvješće o napretku u provedbi mjera, aktivnosti i projekata te ostvarivanju pokazatelja rezultata</w:t>
      </w:r>
      <w:r w:rsidR="00687A54" w:rsidRPr="00490550">
        <w:rPr>
          <w:rFonts w:ascii="Times New Roman" w:hAnsi="Times New Roman" w:cs="Times New Roman"/>
          <w:sz w:val="24"/>
          <w:szCs w:val="24"/>
        </w:rPr>
        <w:t xml:space="preserve"> za razdoblje od 1. siječnja do 3</w:t>
      </w:r>
      <w:r w:rsidR="002D71E5">
        <w:rPr>
          <w:rFonts w:ascii="Times New Roman" w:hAnsi="Times New Roman" w:cs="Times New Roman"/>
          <w:sz w:val="24"/>
          <w:szCs w:val="24"/>
        </w:rPr>
        <w:t>1</w:t>
      </w:r>
      <w:r w:rsidR="00687A54" w:rsidRPr="00490550">
        <w:rPr>
          <w:rFonts w:ascii="Times New Roman" w:hAnsi="Times New Roman" w:cs="Times New Roman"/>
          <w:sz w:val="24"/>
          <w:szCs w:val="24"/>
        </w:rPr>
        <w:t xml:space="preserve">. </w:t>
      </w:r>
      <w:r w:rsidR="002D71E5">
        <w:rPr>
          <w:rFonts w:ascii="Times New Roman" w:hAnsi="Times New Roman" w:cs="Times New Roman"/>
          <w:sz w:val="24"/>
          <w:szCs w:val="24"/>
        </w:rPr>
        <w:t xml:space="preserve">prosinca </w:t>
      </w:r>
      <w:r w:rsidR="00687A54" w:rsidRPr="00490550">
        <w:rPr>
          <w:rFonts w:ascii="Times New Roman" w:hAnsi="Times New Roman" w:cs="Times New Roman"/>
          <w:sz w:val="24"/>
          <w:szCs w:val="24"/>
        </w:rPr>
        <w:t>202</w:t>
      </w:r>
      <w:r w:rsidR="009F6B79">
        <w:rPr>
          <w:rFonts w:ascii="Times New Roman" w:hAnsi="Times New Roman" w:cs="Times New Roman"/>
          <w:sz w:val="24"/>
          <w:szCs w:val="24"/>
        </w:rPr>
        <w:t>4</w:t>
      </w:r>
      <w:r w:rsidR="00687A54" w:rsidRPr="00490550">
        <w:rPr>
          <w:rFonts w:ascii="Times New Roman" w:hAnsi="Times New Roman" w:cs="Times New Roman"/>
          <w:sz w:val="24"/>
          <w:szCs w:val="24"/>
        </w:rPr>
        <w:t>. godine te se javno objavljuje i dostavlja regionalnom koordinatoru. Izvješće se sastoji od opisnog djela te tabličnog prikaza s podacima o napretku u provedbi svake pojedine mjere.</w:t>
      </w:r>
      <w:r w:rsidR="00345D23" w:rsidRPr="00490550">
        <w:rPr>
          <w:rFonts w:ascii="Times New Roman" w:hAnsi="Times New Roman" w:cs="Times New Roman"/>
          <w:sz w:val="28"/>
          <w:szCs w:val="28"/>
        </w:rPr>
        <w:br w:type="page"/>
      </w:r>
    </w:p>
    <w:p w14:paraId="6A7FE351" w14:textId="18071CA5" w:rsidR="00FC11A9" w:rsidRPr="00490550" w:rsidRDefault="003B2DA5" w:rsidP="003B2DA5">
      <w:pPr>
        <w:pStyle w:val="Naslov1"/>
        <w:rPr>
          <w:rFonts w:ascii="Times New Roman" w:hAnsi="Times New Roman" w:cs="Times New Roman"/>
        </w:rPr>
      </w:pPr>
      <w:r w:rsidRPr="00490550">
        <w:rPr>
          <w:rFonts w:ascii="Times New Roman" w:hAnsi="Times New Roman" w:cs="Times New Roman"/>
        </w:rPr>
        <w:lastRenderedPageBreak/>
        <w:t xml:space="preserve">1. </w:t>
      </w:r>
      <w:r w:rsidR="00FC11A9" w:rsidRPr="00490550">
        <w:rPr>
          <w:rFonts w:ascii="Times New Roman" w:hAnsi="Times New Roman" w:cs="Times New Roman"/>
        </w:rPr>
        <w:t>PREGLED STANJA U UPRAVNOM PODRUČJU</w:t>
      </w:r>
    </w:p>
    <w:p w14:paraId="792C08E3" w14:textId="474C03FC" w:rsidR="00FC11A9" w:rsidRPr="00490550" w:rsidRDefault="00FC11A9" w:rsidP="00FC11A9">
      <w:pPr>
        <w:rPr>
          <w:rFonts w:ascii="Times New Roman" w:hAnsi="Times New Roman" w:cs="Times New Roman"/>
          <w:sz w:val="28"/>
          <w:szCs w:val="28"/>
        </w:rPr>
      </w:pPr>
    </w:p>
    <w:p w14:paraId="2E7A51D4" w14:textId="36A421CC" w:rsidR="00364B5A" w:rsidRPr="00490550" w:rsidRDefault="00B006F1" w:rsidP="008412C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U izvještajnom razdoblju </w:t>
      </w:r>
      <w:r w:rsidR="00E952AE">
        <w:rPr>
          <w:rFonts w:ascii="Times New Roman" w:hAnsi="Times New Roman" w:cs="Times New Roman"/>
          <w:sz w:val="24"/>
          <w:szCs w:val="24"/>
        </w:rPr>
        <w:t xml:space="preserve">i dalje su prisutne </w:t>
      </w:r>
      <w:r w:rsidR="0088053C" w:rsidRPr="00490550">
        <w:rPr>
          <w:rFonts w:ascii="Times New Roman" w:hAnsi="Times New Roman" w:cs="Times New Roman"/>
          <w:sz w:val="24"/>
          <w:szCs w:val="24"/>
        </w:rPr>
        <w:t>promjen</w:t>
      </w:r>
      <w:r w:rsidR="00E952AE">
        <w:rPr>
          <w:rFonts w:ascii="Times New Roman" w:hAnsi="Times New Roman" w:cs="Times New Roman"/>
          <w:sz w:val="24"/>
          <w:szCs w:val="24"/>
        </w:rPr>
        <w:t>e</w:t>
      </w:r>
      <w:r w:rsidR="0088053C" w:rsidRPr="00490550">
        <w:rPr>
          <w:rFonts w:ascii="Times New Roman" w:hAnsi="Times New Roman" w:cs="Times New Roman"/>
          <w:sz w:val="24"/>
          <w:szCs w:val="24"/>
        </w:rPr>
        <w:t xml:space="preserve"> u pogledu gospodarsko-ekonomske situacije</w:t>
      </w:r>
      <w:r w:rsidR="00AB6F98" w:rsidRPr="00490550">
        <w:rPr>
          <w:rFonts w:ascii="Times New Roman" w:hAnsi="Times New Roman" w:cs="Times New Roman"/>
          <w:sz w:val="24"/>
          <w:szCs w:val="24"/>
        </w:rPr>
        <w:t xml:space="preserve"> u Hrvatskoj</w:t>
      </w:r>
      <w:r w:rsidR="0088053C" w:rsidRPr="00490550">
        <w:rPr>
          <w:rFonts w:ascii="Times New Roman" w:hAnsi="Times New Roman" w:cs="Times New Roman"/>
          <w:sz w:val="24"/>
          <w:szCs w:val="24"/>
        </w:rPr>
        <w:t xml:space="preserve"> obzirom na </w:t>
      </w:r>
      <w:r w:rsidR="009F6B79">
        <w:rPr>
          <w:rFonts w:ascii="Times New Roman" w:hAnsi="Times New Roman" w:cs="Times New Roman"/>
          <w:sz w:val="24"/>
          <w:szCs w:val="24"/>
        </w:rPr>
        <w:t>općenito povećanje c</w:t>
      </w:r>
      <w:r w:rsidR="00364B5A" w:rsidRPr="00490550">
        <w:rPr>
          <w:rFonts w:ascii="Times New Roman" w:hAnsi="Times New Roman" w:cs="Times New Roman"/>
          <w:sz w:val="24"/>
          <w:szCs w:val="24"/>
        </w:rPr>
        <w:t xml:space="preserve">ijena </w:t>
      </w:r>
      <w:r w:rsidR="00AB6F98" w:rsidRPr="00490550">
        <w:rPr>
          <w:rFonts w:ascii="Times New Roman" w:hAnsi="Times New Roman" w:cs="Times New Roman"/>
          <w:sz w:val="24"/>
          <w:szCs w:val="24"/>
        </w:rPr>
        <w:t xml:space="preserve">potaknut </w:t>
      </w:r>
      <w:r w:rsidR="00364B5A" w:rsidRPr="00490550">
        <w:rPr>
          <w:rFonts w:ascii="Times New Roman" w:hAnsi="Times New Roman" w:cs="Times New Roman"/>
          <w:sz w:val="24"/>
          <w:szCs w:val="24"/>
        </w:rPr>
        <w:t xml:space="preserve">što </w:t>
      </w:r>
      <w:r w:rsidR="00486C0D" w:rsidRPr="00490550">
        <w:rPr>
          <w:rFonts w:ascii="Times New Roman" w:hAnsi="Times New Roman" w:cs="Times New Roman"/>
          <w:sz w:val="24"/>
          <w:szCs w:val="24"/>
        </w:rPr>
        <w:t xml:space="preserve">je </w:t>
      </w:r>
      <w:r w:rsidR="00364B5A" w:rsidRPr="00490550">
        <w:rPr>
          <w:rFonts w:ascii="Times New Roman" w:hAnsi="Times New Roman" w:cs="Times New Roman"/>
          <w:sz w:val="24"/>
          <w:szCs w:val="24"/>
        </w:rPr>
        <w:t>negativno utje</w:t>
      </w:r>
      <w:r w:rsidR="00486C0D" w:rsidRPr="00490550">
        <w:rPr>
          <w:rFonts w:ascii="Times New Roman" w:hAnsi="Times New Roman" w:cs="Times New Roman"/>
          <w:sz w:val="24"/>
          <w:szCs w:val="24"/>
        </w:rPr>
        <w:t>calo</w:t>
      </w:r>
      <w:r w:rsidR="00364B5A" w:rsidRPr="00490550">
        <w:rPr>
          <w:rFonts w:ascii="Times New Roman" w:hAnsi="Times New Roman" w:cs="Times New Roman"/>
          <w:sz w:val="24"/>
          <w:szCs w:val="24"/>
        </w:rPr>
        <w:t xml:space="preserve"> na raspoloživi dohodak građana</w:t>
      </w:r>
      <w:r w:rsidR="00486C0D" w:rsidRPr="00490550">
        <w:rPr>
          <w:rFonts w:ascii="Times New Roman" w:hAnsi="Times New Roman" w:cs="Times New Roman"/>
          <w:sz w:val="24"/>
          <w:szCs w:val="24"/>
        </w:rPr>
        <w:t>, i</w:t>
      </w:r>
      <w:r w:rsidR="00364B5A" w:rsidRPr="00490550">
        <w:rPr>
          <w:rFonts w:ascii="Times New Roman" w:hAnsi="Times New Roman" w:cs="Times New Roman"/>
          <w:sz w:val="24"/>
          <w:szCs w:val="24"/>
        </w:rPr>
        <w:t>ako je situacija gledaj</w:t>
      </w:r>
      <w:r w:rsidR="00486C0D" w:rsidRPr="00490550">
        <w:rPr>
          <w:rFonts w:ascii="Times New Roman" w:hAnsi="Times New Roman" w:cs="Times New Roman"/>
          <w:sz w:val="24"/>
          <w:szCs w:val="24"/>
        </w:rPr>
        <w:t>ući</w:t>
      </w:r>
      <w:r w:rsidR="00364B5A" w:rsidRPr="00490550">
        <w:rPr>
          <w:rFonts w:ascii="Times New Roman" w:hAnsi="Times New Roman" w:cs="Times New Roman"/>
          <w:sz w:val="24"/>
          <w:szCs w:val="24"/>
        </w:rPr>
        <w:t xml:space="preserve"> na zapošljavanje i rast plaća </w:t>
      </w:r>
      <w:r w:rsidR="009F6B79">
        <w:rPr>
          <w:rFonts w:ascii="Times New Roman" w:hAnsi="Times New Roman" w:cs="Times New Roman"/>
          <w:sz w:val="24"/>
          <w:szCs w:val="24"/>
        </w:rPr>
        <w:t>povoljnija</w:t>
      </w:r>
      <w:r w:rsidR="00364B5A" w:rsidRPr="00490550">
        <w:rPr>
          <w:rFonts w:ascii="Times New Roman" w:hAnsi="Times New Roman" w:cs="Times New Roman"/>
          <w:sz w:val="24"/>
          <w:szCs w:val="24"/>
        </w:rPr>
        <w:t xml:space="preserve"> u odnosu na prošlu godinu, što se vidi iz povećanja prihoda od poreza na dohodak.</w:t>
      </w:r>
    </w:p>
    <w:p w14:paraId="62BC801C" w14:textId="09D0B0C7" w:rsidR="00FB236D" w:rsidRPr="00490550" w:rsidRDefault="00E316D0" w:rsidP="008412C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Rast cijena negativno utječe i na </w:t>
      </w:r>
      <w:r w:rsidR="009F6B79">
        <w:rPr>
          <w:rFonts w:ascii="Times New Roman" w:hAnsi="Times New Roman" w:cs="Times New Roman"/>
          <w:sz w:val="24"/>
          <w:szCs w:val="24"/>
        </w:rPr>
        <w:t xml:space="preserve">financijski značajnije </w:t>
      </w:r>
      <w:r w:rsidRPr="00490550">
        <w:rPr>
          <w:rFonts w:ascii="Times New Roman" w:hAnsi="Times New Roman" w:cs="Times New Roman"/>
          <w:sz w:val="24"/>
          <w:szCs w:val="24"/>
        </w:rPr>
        <w:t xml:space="preserve">investicije koje su planirane budući je neizvjesno kako će se cijene kretati te da li će se </w:t>
      </w:r>
      <w:r w:rsidR="009F6B79">
        <w:rPr>
          <w:rFonts w:ascii="Times New Roman" w:hAnsi="Times New Roman" w:cs="Times New Roman"/>
          <w:sz w:val="24"/>
          <w:szCs w:val="24"/>
        </w:rPr>
        <w:t xml:space="preserve">moći iznaći sredstva za financiranje </w:t>
      </w:r>
      <w:r w:rsidRPr="00490550">
        <w:rPr>
          <w:rFonts w:ascii="Times New Roman" w:hAnsi="Times New Roman" w:cs="Times New Roman"/>
          <w:sz w:val="24"/>
          <w:szCs w:val="24"/>
        </w:rPr>
        <w:t>investicij</w:t>
      </w:r>
      <w:r w:rsidR="009F6B79">
        <w:rPr>
          <w:rFonts w:ascii="Times New Roman" w:hAnsi="Times New Roman" w:cs="Times New Roman"/>
          <w:sz w:val="24"/>
          <w:szCs w:val="24"/>
        </w:rPr>
        <w:t>a</w:t>
      </w:r>
      <w:r w:rsidRPr="0049055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B085CD" w14:textId="094333B1" w:rsidR="005917BD" w:rsidRPr="009F6B79" w:rsidRDefault="009F6B79" w:rsidP="008412C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F6B79">
        <w:rPr>
          <w:rFonts w:ascii="Times New Roman" w:hAnsi="Times New Roman" w:cs="Times New Roman"/>
          <w:sz w:val="24"/>
          <w:szCs w:val="24"/>
        </w:rPr>
        <w:t xml:space="preserve">Izmjene </w:t>
      </w:r>
      <w:r>
        <w:rPr>
          <w:rFonts w:ascii="Times New Roman" w:hAnsi="Times New Roman" w:cs="Times New Roman"/>
          <w:sz w:val="24"/>
          <w:szCs w:val="24"/>
        </w:rPr>
        <w:t xml:space="preserve">poreznih propisa krajem 2023. godine utjecale su na smanjenje proračunskih prihoda, posebice od poreza, no novo zapošljavanje te rast plaća kompenziralo je gubitak prihoda. </w:t>
      </w:r>
    </w:p>
    <w:p w14:paraId="69C223C4" w14:textId="1C0E9B3B" w:rsidR="004E53F0" w:rsidRPr="00490550" w:rsidRDefault="00F6415B" w:rsidP="008412C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Općina Matulji je tijekom izvještajnog razdoblja provodila </w:t>
      </w:r>
      <w:r w:rsidR="005818C8" w:rsidRPr="00490550">
        <w:rPr>
          <w:rFonts w:ascii="Times New Roman" w:hAnsi="Times New Roman" w:cs="Times New Roman"/>
          <w:sz w:val="24"/>
          <w:szCs w:val="24"/>
        </w:rPr>
        <w:t>aktivnosti i projekte sukladno donesenim mjerama Provedbenog programa kao i doneseno</w:t>
      </w:r>
      <w:r w:rsidR="00F1573F">
        <w:rPr>
          <w:rFonts w:ascii="Times New Roman" w:hAnsi="Times New Roman" w:cs="Times New Roman"/>
          <w:sz w:val="24"/>
          <w:szCs w:val="24"/>
        </w:rPr>
        <w:t>m</w:t>
      </w:r>
      <w:r w:rsidR="005818C8" w:rsidRPr="00490550">
        <w:rPr>
          <w:rFonts w:ascii="Times New Roman" w:hAnsi="Times New Roman" w:cs="Times New Roman"/>
          <w:sz w:val="24"/>
          <w:szCs w:val="24"/>
        </w:rPr>
        <w:t xml:space="preserve"> Proračun</w:t>
      </w:r>
      <w:r w:rsidR="00F1573F">
        <w:rPr>
          <w:rFonts w:ascii="Times New Roman" w:hAnsi="Times New Roman" w:cs="Times New Roman"/>
          <w:sz w:val="24"/>
          <w:szCs w:val="24"/>
        </w:rPr>
        <w:t>u</w:t>
      </w:r>
      <w:r w:rsidR="005818C8" w:rsidRPr="00490550">
        <w:rPr>
          <w:rFonts w:ascii="Times New Roman" w:hAnsi="Times New Roman" w:cs="Times New Roman"/>
          <w:sz w:val="24"/>
          <w:szCs w:val="24"/>
        </w:rPr>
        <w:t xml:space="preserve"> za 202</w:t>
      </w:r>
      <w:r w:rsidR="009F6B79">
        <w:rPr>
          <w:rFonts w:ascii="Times New Roman" w:hAnsi="Times New Roman" w:cs="Times New Roman"/>
          <w:sz w:val="24"/>
          <w:szCs w:val="24"/>
        </w:rPr>
        <w:t>4</w:t>
      </w:r>
      <w:r w:rsidR="005818C8" w:rsidRPr="00490550"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78F72E4B" w14:textId="75D189AA" w:rsidR="00FC11A9" w:rsidRPr="00490550" w:rsidRDefault="00FC11A9" w:rsidP="00FC11A9">
      <w:pPr>
        <w:rPr>
          <w:rFonts w:ascii="Times New Roman" w:hAnsi="Times New Roman" w:cs="Times New Roman"/>
          <w:sz w:val="28"/>
          <w:szCs w:val="28"/>
        </w:rPr>
      </w:pPr>
    </w:p>
    <w:p w14:paraId="6DBC1D75" w14:textId="77777777" w:rsidR="00B95E6A" w:rsidRPr="00490550" w:rsidRDefault="00B95E6A" w:rsidP="00B95E6A">
      <w:pPr>
        <w:rPr>
          <w:rFonts w:ascii="Times New Roman" w:hAnsi="Times New Roman" w:cs="Times New Roman"/>
        </w:rPr>
      </w:pPr>
    </w:p>
    <w:p w14:paraId="65597C78" w14:textId="77777777" w:rsidR="007474C5" w:rsidRPr="00490550" w:rsidRDefault="007474C5">
      <w:pPr>
        <w:rPr>
          <w:rFonts w:ascii="Times New Roman" w:hAnsi="Times New Roman" w:cs="Times New Roman"/>
          <w:sz w:val="28"/>
          <w:szCs w:val="28"/>
        </w:rPr>
      </w:pPr>
      <w:r w:rsidRPr="00490550">
        <w:rPr>
          <w:rFonts w:ascii="Times New Roman" w:hAnsi="Times New Roman" w:cs="Times New Roman"/>
          <w:sz w:val="28"/>
          <w:szCs w:val="28"/>
        </w:rPr>
        <w:br w:type="page"/>
      </w:r>
    </w:p>
    <w:p w14:paraId="6CC7BD9D" w14:textId="50884EC9" w:rsidR="00FC11A9" w:rsidRPr="00490550" w:rsidRDefault="003B2DA5" w:rsidP="003B2DA5">
      <w:pPr>
        <w:pStyle w:val="Naslov1"/>
        <w:rPr>
          <w:rFonts w:ascii="Times New Roman" w:hAnsi="Times New Roman" w:cs="Times New Roman"/>
        </w:rPr>
      </w:pPr>
      <w:r w:rsidRPr="00490550">
        <w:rPr>
          <w:rFonts w:ascii="Times New Roman" w:hAnsi="Times New Roman" w:cs="Times New Roman"/>
        </w:rPr>
        <w:lastRenderedPageBreak/>
        <w:t xml:space="preserve">2. </w:t>
      </w:r>
      <w:r w:rsidR="00FC11A9" w:rsidRPr="00490550">
        <w:rPr>
          <w:rFonts w:ascii="Times New Roman" w:hAnsi="Times New Roman" w:cs="Times New Roman"/>
        </w:rPr>
        <w:t>IZVJEŠĆE O NAPRETKU U PROVEDBI MJERA</w:t>
      </w:r>
    </w:p>
    <w:p w14:paraId="755D3DCB" w14:textId="77777777" w:rsidR="008C1ECA" w:rsidRPr="00490550" w:rsidRDefault="008C1ECA" w:rsidP="008C1ECA">
      <w:pPr>
        <w:jc w:val="both"/>
        <w:rPr>
          <w:rFonts w:ascii="Times New Roman" w:hAnsi="Times New Roman" w:cs="Times New Roman"/>
        </w:rPr>
      </w:pPr>
    </w:p>
    <w:p w14:paraId="2B2F998C" w14:textId="384ECF9B" w:rsidR="00861BFD" w:rsidRPr="00490550" w:rsidRDefault="00861BFD" w:rsidP="00EA21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Kako je </w:t>
      </w:r>
      <w:r w:rsidR="00EA211B" w:rsidRPr="00490550">
        <w:rPr>
          <w:rFonts w:ascii="Times New Roman" w:hAnsi="Times New Roman" w:cs="Times New Roman"/>
          <w:sz w:val="24"/>
          <w:szCs w:val="24"/>
        </w:rPr>
        <w:t>već</w:t>
      </w:r>
      <w:r w:rsidRPr="00490550">
        <w:rPr>
          <w:rFonts w:ascii="Times New Roman" w:hAnsi="Times New Roman" w:cs="Times New Roman"/>
          <w:sz w:val="24"/>
          <w:szCs w:val="24"/>
        </w:rPr>
        <w:t xml:space="preserve"> navedeno Općina Matulji Provedbenim programom </w:t>
      </w:r>
      <w:r w:rsidR="00EA211B" w:rsidRPr="00490550">
        <w:rPr>
          <w:rFonts w:ascii="Times New Roman" w:hAnsi="Times New Roman" w:cs="Times New Roman"/>
          <w:sz w:val="24"/>
          <w:szCs w:val="24"/>
        </w:rPr>
        <w:t xml:space="preserve">je </w:t>
      </w:r>
      <w:r w:rsidRPr="00490550">
        <w:rPr>
          <w:rFonts w:ascii="Times New Roman" w:hAnsi="Times New Roman" w:cs="Times New Roman"/>
          <w:sz w:val="24"/>
          <w:szCs w:val="24"/>
        </w:rPr>
        <w:t>odredila četiri prioritetna područja na temelju kojih su mjere raspoređene po odabranim ciljevima.</w:t>
      </w:r>
    </w:p>
    <w:p w14:paraId="5D598E8D" w14:textId="6971E33A" w:rsidR="008C1ECA" w:rsidRPr="00490550" w:rsidRDefault="008C1ECA" w:rsidP="00EA21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Prioritet 1 „Poticanje poduzetničke klime i razvoj turizma“, u skladu je sa Prioritetom 1 Primorsko-goranske županije: „Pametna regija konkurentnog gospodarstva baziranog na znanju i naprednim tehnologijama“.  Fokus prioriteta je na jačanju poduzetničkih aktivnosti i gospodarskom rastu.</w:t>
      </w:r>
    </w:p>
    <w:p w14:paraId="4FBE9448" w14:textId="4C1754D2" w:rsidR="008C1ECA" w:rsidRPr="00490550" w:rsidRDefault="008C1ECA" w:rsidP="00EA21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Prioritet 2 „Unaprjeđenje kvalitete života stanovnika i veći životni standard“, u skladu je s ciljevima dva prioritetna područja Plana razvoja PGŽ koji se primarno odnose na kvalitetu života djece, mladih i obitelji, kao i zdravlje i blagostanje. Navedeni prioriteti Primorsko-goranske županije su slijedeći: prioritet 2 </w:t>
      </w:r>
      <w:r w:rsidR="00861BFD" w:rsidRPr="00490550">
        <w:rPr>
          <w:rFonts w:ascii="Times New Roman" w:hAnsi="Times New Roman" w:cs="Times New Roman"/>
          <w:sz w:val="24"/>
          <w:szCs w:val="24"/>
        </w:rPr>
        <w:t>-</w:t>
      </w:r>
      <w:r w:rsidRPr="00490550">
        <w:rPr>
          <w:rFonts w:ascii="Times New Roman" w:hAnsi="Times New Roman" w:cs="Times New Roman"/>
          <w:sz w:val="24"/>
          <w:szCs w:val="24"/>
        </w:rPr>
        <w:t xml:space="preserve"> „Djeca i mladi u fokusu“ i Prioritet 5</w:t>
      </w:r>
      <w:r w:rsidR="00E05D8B" w:rsidRPr="00490550">
        <w:rPr>
          <w:rFonts w:ascii="Times New Roman" w:hAnsi="Times New Roman" w:cs="Times New Roman"/>
          <w:sz w:val="24"/>
          <w:szCs w:val="24"/>
        </w:rPr>
        <w:t xml:space="preserve"> -</w:t>
      </w:r>
      <w:r w:rsidRPr="00490550">
        <w:rPr>
          <w:rFonts w:ascii="Times New Roman" w:hAnsi="Times New Roman" w:cs="Times New Roman"/>
          <w:sz w:val="24"/>
          <w:szCs w:val="24"/>
        </w:rPr>
        <w:t xml:space="preserve"> „Ravnomjernim razvojem do europskog standarda i visoke kvalitete života za sve građane“.  </w:t>
      </w:r>
    </w:p>
    <w:p w14:paraId="34510BBC" w14:textId="3014CCA1" w:rsidR="008C1ECA" w:rsidRPr="00490550" w:rsidRDefault="008C1ECA" w:rsidP="00EA21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Prioritetom 3 „Učinkovito upravljanje prostorom i zaštita okoliša“ teži se ka uspostavi sustava pametnog i održivog korištenja prostorom i prirodnih resursa te zaštiti okoliša. Prioritet 3 u skladu je s prioritetom 3 Plana razvoja PGŽ </w:t>
      </w:r>
      <w:r w:rsidR="00861BFD" w:rsidRPr="00490550">
        <w:rPr>
          <w:rFonts w:ascii="Times New Roman" w:hAnsi="Times New Roman" w:cs="Times New Roman"/>
          <w:sz w:val="24"/>
          <w:szCs w:val="24"/>
        </w:rPr>
        <w:t>-</w:t>
      </w:r>
      <w:r w:rsidRPr="00490550">
        <w:rPr>
          <w:rFonts w:ascii="Times New Roman" w:hAnsi="Times New Roman" w:cs="Times New Roman"/>
          <w:sz w:val="24"/>
          <w:szCs w:val="24"/>
        </w:rPr>
        <w:t xml:space="preserve"> „Zelena tranzicija temeljena na održivom upravljanju i korištenju vlastitih resursa“, koji sadrži ciljeve koji se odnose na upravljanje prostorom i prirodnim resursima, zelenu tranziciju te javnu i komunalnu infrastrukturu. </w:t>
      </w:r>
    </w:p>
    <w:p w14:paraId="0FF63674" w14:textId="77777777" w:rsidR="00861BFD" w:rsidRPr="00490550" w:rsidRDefault="008C1ECA" w:rsidP="0074408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Prioritet 4 „Povećanje učinkovitosti Općinske uprave“ odnosi se na daljnji razvoj kvalitete i unaprjeđenje usluga i standarda Općinske uprave u službi građana. Prioritet 4 u skladu je s prioritetom 5 „Ravnomjernim razvojem do europskom standarda i visoke kvalitete života za sve građane“ Plana razvoja PGŽ. </w:t>
      </w:r>
      <w:r w:rsidR="00861BFD" w:rsidRPr="00490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F808C4" w14:textId="7FA851CC" w:rsidR="00861BFD" w:rsidRPr="00490550" w:rsidRDefault="00861BFD" w:rsidP="00EA21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Općina Matulji je tijekom izvještajnog razdoblja provodila aktivnosti i projekte sukladno donesenim mjerama Provedbenog programa kao i dones</w:t>
      </w:r>
      <w:r w:rsidR="00F1573F">
        <w:rPr>
          <w:rFonts w:ascii="Times New Roman" w:hAnsi="Times New Roman" w:cs="Times New Roman"/>
          <w:sz w:val="24"/>
          <w:szCs w:val="24"/>
        </w:rPr>
        <w:t xml:space="preserve">enom </w:t>
      </w:r>
      <w:r w:rsidRPr="00490550">
        <w:rPr>
          <w:rFonts w:ascii="Times New Roman" w:hAnsi="Times New Roman" w:cs="Times New Roman"/>
          <w:sz w:val="24"/>
          <w:szCs w:val="24"/>
        </w:rPr>
        <w:t>Proračun</w:t>
      </w:r>
      <w:r w:rsidR="00F1573F">
        <w:rPr>
          <w:rFonts w:ascii="Times New Roman" w:hAnsi="Times New Roman" w:cs="Times New Roman"/>
          <w:sz w:val="24"/>
          <w:szCs w:val="24"/>
        </w:rPr>
        <w:t>u</w:t>
      </w:r>
      <w:r w:rsidRPr="00490550">
        <w:rPr>
          <w:rFonts w:ascii="Times New Roman" w:hAnsi="Times New Roman" w:cs="Times New Roman"/>
          <w:sz w:val="24"/>
          <w:szCs w:val="24"/>
        </w:rPr>
        <w:t xml:space="preserve"> za 202</w:t>
      </w:r>
      <w:r w:rsidR="005A0441">
        <w:rPr>
          <w:rFonts w:ascii="Times New Roman" w:hAnsi="Times New Roman" w:cs="Times New Roman"/>
          <w:sz w:val="24"/>
          <w:szCs w:val="24"/>
        </w:rPr>
        <w:t>4</w:t>
      </w:r>
      <w:r w:rsidRPr="00490550">
        <w:rPr>
          <w:rFonts w:ascii="Times New Roman" w:hAnsi="Times New Roman" w:cs="Times New Roman"/>
          <w:sz w:val="24"/>
          <w:szCs w:val="24"/>
        </w:rPr>
        <w:t xml:space="preserve">. godinu. </w:t>
      </w:r>
    </w:p>
    <w:p w14:paraId="2E4A59A1" w14:textId="109E6724" w:rsidR="008C1ECA" w:rsidRDefault="008C1ECA" w:rsidP="008C1ECA">
      <w:pPr>
        <w:jc w:val="both"/>
        <w:rPr>
          <w:rFonts w:ascii="Times New Roman" w:hAnsi="Times New Roman" w:cs="Times New Roman"/>
        </w:rPr>
      </w:pPr>
    </w:p>
    <w:p w14:paraId="27E7843B" w14:textId="77777777" w:rsidR="007C01C7" w:rsidRPr="00490550" w:rsidRDefault="007C01C7" w:rsidP="008C1ECA">
      <w:pPr>
        <w:jc w:val="both"/>
        <w:rPr>
          <w:rFonts w:ascii="Times New Roman" w:hAnsi="Times New Roman" w:cs="Times New Roman"/>
        </w:rPr>
      </w:pPr>
    </w:p>
    <w:p w14:paraId="27E396D5" w14:textId="7704D91F" w:rsidR="006E5624" w:rsidRPr="00490550" w:rsidRDefault="006E5624" w:rsidP="003B2DA5">
      <w:pPr>
        <w:pStyle w:val="Naslov2"/>
        <w:rPr>
          <w:rFonts w:ascii="Times New Roman" w:hAnsi="Times New Roman" w:cs="Times New Roman"/>
        </w:rPr>
      </w:pPr>
      <w:r w:rsidRPr="00490550">
        <w:rPr>
          <w:rFonts w:ascii="Times New Roman" w:hAnsi="Times New Roman" w:cs="Times New Roman"/>
        </w:rPr>
        <w:t>2.1. ANALIZA STATUSA PROVEDBE MJERA</w:t>
      </w:r>
    </w:p>
    <w:p w14:paraId="75E1394F" w14:textId="77777777" w:rsidR="008C1ECA" w:rsidRPr="00490550" w:rsidRDefault="008C1ECA" w:rsidP="007474C5">
      <w:pPr>
        <w:jc w:val="both"/>
        <w:rPr>
          <w:rFonts w:ascii="Times New Roman" w:hAnsi="Times New Roman" w:cs="Times New Roman"/>
        </w:rPr>
      </w:pPr>
    </w:p>
    <w:p w14:paraId="5EEEE512" w14:textId="3B69D708" w:rsidR="006E5624" w:rsidRPr="00804B0F" w:rsidRDefault="006E5624" w:rsidP="00EA211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04B0F">
        <w:rPr>
          <w:rFonts w:ascii="Times New Roman" w:hAnsi="Times New Roman" w:cs="Times New Roman"/>
          <w:sz w:val="24"/>
          <w:szCs w:val="24"/>
        </w:rPr>
        <w:t>Od ukupno</w:t>
      </w:r>
      <w:r w:rsidR="007C01C7" w:rsidRPr="00804B0F">
        <w:rPr>
          <w:rFonts w:ascii="Times New Roman" w:hAnsi="Times New Roman" w:cs="Times New Roman"/>
          <w:sz w:val="24"/>
          <w:szCs w:val="24"/>
        </w:rPr>
        <w:t xml:space="preserve"> 26</w:t>
      </w:r>
      <w:r w:rsidRPr="00804B0F">
        <w:rPr>
          <w:rFonts w:ascii="Times New Roman" w:hAnsi="Times New Roman" w:cs="Times New Roman"/>
          <w:sz w:val="24"/>
          <w:szCs w:val="24"/>
        </w:rPr>
        <w:t xml:space="preserve"> mjera definiranih Provedben</w:t>
      </w:r>
      <w:r w:rsidR="00FB0BA8" w:rsidRPr="00804B0F">
        <w:rPr>
          <w:rFonts w:ascii="Times New Roman" w:hAnsi="Times New Roman" w:cs="Times New Roman"/>
          <w:sz w:val="24"/>
          <w:szCs w:val="24"/>
        </w:rPr>
        <w:t>i</w:t>
      </w:r>
      <w:r w:rsidRPr="00804B0F">
        <w:rPr>
          <w:rFonts w:ascii="Times New Roman" w:hAnsi="Times New Roman" w:cs="Times New Roman"/>
          <w:sz w:val="24"/>
          <w:szCs w:val="24"/>
        </w:rPr>
        <w:t>m programom koje se odnose na 202</w:t>
      </w:r>
      <w:r w:rsidR="009F6B79">
        <w:rPr>
          <w:rFonts w:ascii="Times New Roman" w:hAnsi="Times New Roman" w:cs="Times New Roman"/>
          <w:sz w:val="24"/>
          <w:szCs w:val="24"/>
        </w:rPr>
        <w:t>4</w:t>
      </w:r>
      <w:r w:rsidRPr="00804B0F">
        <w:rPr>
          <w:rFonts w:ascii="Times New Roman" w:hAnsi="Times New Roman" w:cs="Times New Roman"/>
          <w:sz w:val="24"/>
          <w:szCs w:val="24"/>
        </w:rPr>
        <w:t xml:space="preserve">. godinu </w:t>
      </w:r>
      <w:r w:rsidR="007C01C7" w:rsidRPr="00804B0F">
        <w:rPr>
          <w:rFonts w:ascii="Times New Roman" w:hAnsi="Times New Roman" w:cs="Times New Roman"/>
          <w:sz w:val="24"/>
          <w:szCs w:val="24"/>
        </w:rPr>
        <w:t xml:space="preserve">za sve </w:t>
      </w:r>
      <w:r w:rsidRPr="00804B0F">
        <w:rPr>
          <w:rFonts w:ascii="Times New Roman" w:hAnsi="Times New Roman" w:cs="Times New Roman"/>
          <w:sz w:val="24"/>
          <w:szCs w:val="24"/>
        </w:rPr>
        <w:t xml:space="preserve">mjere </w:t>
      </w:r>
      <w:r w:rsidR="007C01C7" w:rsidRPr="00804B0F">
        <w:rPr>
          <w:rFonts w:ascii="Times New Roman" w:hAnsi="Times New Roman" w:cs="Times New Roman"/>
          <w:sz w:val="24"/>
          <w:szCs w:val="24"/>
        </w:rPr>
        <w:t>je započela provedba</w:t>
      </w:r>
      <w:r w:rsidR="00E43566" w:rsidRPr="00804B0F">
        <w:rPr>
          <w:rFonts w:ascii="Times New Roman" w:hAnsi="Times New Roman" w:cs="Times New Roman"/>
          <w:sz w:val="24"/>
          <w:szCs w:val="24"/>
        </w:rPr>
        <w:t>, odnosno imaju status</w:t>
      </w:r>
      <w:r w:rsidR="00804B0F">
        <w:rPr>
          <w:rFonts w:ascii="Times New Roman" w:hAnsi="Times New Roman" w:cs="Times New Roman"/>
          <w:sz w:val="24"/>
          <w:szCs w:val="24"/>
        </w:rPr>
        <w:t xml:space="preserve"> provedbe</w:t>
      </w:r>
      <w:r w:rsidR="00E43566" w:rsidRPr="00804B0F">
        <w:rPr>
          <w:rFonts w:ascii="Times New Roman" w:hAnsi="Times New Roman" w:cs="Times New Roman"/>
          <w:sz w:val="24"/>
          <w:szCs w:val="24"/>
        </w:rPr>
        <w:t xml:space="preserve"> „U tijeku“</w:t>
      </w:r>
      <w:r w:rsidR="007C01C7" w:rsidRPr="00804B0F">
        <w:rPr>
          <w:rFonts w:ascii="Times New Roman" w:hAnsi="Times New Roman" w:cs="Times New Roman"/>
          <w:sz w:val="24"/>
          <w:szCs w:val="24"/>
        </w:rPr>
        <w:t>.</w:t>
      </w:r>
    </w:p>
    <w:p w14:paraId="6FD6911D" w14:textId="39508B81" w:rsidR="00A97591" w:rsidRPr="00490550" w:rsidRDefault="00903E14" w:rsidP="006F07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U nastavku se nalazi tablica s prikazom statusa provedbe mjera za izvještajno razdoblje 01.01.-3</w:t>
      </w:r>
      <w:r w:rsidR="00546D0E">
        <w:rPr>
          <w:rFonts w:ascii="Times New Roman" w:hAnsi="Times New Roman" w:cs="Times New Roman"/>
          <w:sz w:val="24"/>
          <w:szCs w:val="24"/>
        </w:rPr>
        <w:t>1</w:t>
      </w:r>
      <w:r w:rsidRPr="00490550">
        <w:rPr>
          <w:rFonts w:ascii="Times New Roman" w:hAnsi="Times New Roman" w:cs="Times New Roman"/>
          <w:sz w:val="24"/>
          <w:szCs w:val="24"/>
        </w:rPr>
        <w:t>.</w:t>
      </w:r>
      <w:r w:rsidR="00546D0E">
        <w:rPr>
          <w:rFonts w:ascii="Times New Roman" w:hAnsi="Times New Roman" w:cs="Times New Roman"/>
          <w:sz w:val="24"/>
          <w:szCs w:val="24"/>
        </w:rPr>
        <w:t>12</w:t>
      </w:r>
      <w:r w:rsidRPr="00490550">
        <w:rPr>
          <w:rFonts w:ascii="Times New Roman" w:hAnsi="Times New Roman" w:cs="Times New Roman"/>
          <w:sz w:val="24"/>
          <w:szCs w:val="24"/>
        </w:rPr>
        <w:t>.202</w:t>
      </w:r>
      <w:r w:rsidR="009F6B79">
        <w:rPr>
          <w:rFonts w:ascii="Times New Roman" w:hAnsi="Times New Roman" w:cs="Times New Roman"/>
          <w:sz w:val="24"/>
          <w:szCs w:val="24"/>
        </w:rPr>
        <w:t>4</w:t>
      </w:r>
      <w:r w:rsidRPr="00490550">
        <w:rPr>
          <w:rFonts w:ascii="Times New Roman" w:hAnsi="Times New Roman" w:cs="Times New Roman"/>
          <w:sz w:val="24"/>
          <w:szCs w:val="24"/>
        </w:rPr>
        <w:t>. godine za svaku mjeru definiranu Provedbenim programom.</w:t>
      </w:r>
    </w:p>
    <w:p w14:paraId="3516C3F2" w14:textId="4567E47E" w:rsidR="001A5347" w:rsidRPr="00490550" w:rsidRDefault="001A534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59DD9" w14:textId="7B757322" w:rsidR="001A5347" w:rsidRPr="00490550" w:rsidRDefault="001A534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ECF5E" w14:textId="77C88F17" w:rsidR="001A5347" w:rsidRDefault="001A534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66661" w14:textId="30328F5A" w:rsidR="007C01C7" w:rsidRDefault="007C01C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229B1" w14:textId="76F96B4F" w:rsidR="007C01C7" w:rsidRDefault="007C01C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96BAC5" w14:textId="77777777" w:rsidR="007B2AE7" w:rsidRPr="00490550" w:rsidRDefault="007B2AE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D970DA" w14:textId="77CB4777" w:rsidR="001A5347" w:rsidRPr="00490550" w:rsidRDefault="001A5347" w:rsidP="00923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0" w:type="dxa"/>
        <w:jc w:val="center"/>
        <w:tblCellMar>
          <w:top w:w="15" w:type="dxa"/>
        </w:tblCellMar>
        <w:tblLook w:val="04A0" w:firstRow="1" w:lastRow="0" w:firstColumn="1" w:lastColumn="0" w:noHBand="0" w:noVBand="1"/>
      </w:tblPr>
      <w:tblGrid>
        <w:gridCol w:w="7247"/>
        <w:gridCol w:w="1907"/>
        <w:gridCol w:w="236"/>
      </w:tblGrid>
      <w:tr w:rsidR="00A97591" w:rsidRPr="00490550" w14:paraId="14F73012" w14:textId="77777777" w:rsidTr="00A97591">
        <w:trPr>
          <w:gridAfter w:val="1"/>
          <w:wAfter w:w="236" w:type="dxa"/>
          <w:trHeight w:val="585"/>
          <w:jc w:val="center"/>
        </w:trPr>
        <w:tc>
          <w:tcPr>
            <w:tcW w:w="724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3BBBF5A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lastRenderedPageBreak/>
              <w:t>Naziv mjere</w:t>
            </w:r>
          </w:p>
        </w:tc>
        <w:tc>
          <w:tcPr>
            <w:tcW w:w="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4A8A60E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Status provedbe mjere</w:t>
            </w:r>
          </w:p>
        </w:tc>
      </w:tr>
      <w:tr w:rsidR="00A97591" w:rsidRPr="00490550" w14:paraId="22FF2A9C" w14:textId="77777777" w:rsidTr="00A97591">
        <w:trPr>
          <w:gridAfter w:val="1"/>
          <w:wAfter w:w="236" w:type="dxa"/>
          <w:trHeight w:val="45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BD2DE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Podrška jačanju konkurentnosti mikro, malog i srednjeg poduzetništva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56E8E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</w:tr>
      <w:tr w:rsidR="00A97591" w:rsidRPr="00490550" w14:paraId="5546F85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2613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92E57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7686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2C16F125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705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C4C57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968D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DA7BBCD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DDC6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Unaprjeđenje uvjeta i organizacije rada predškolskih ustanova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D2B98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482E275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C9807C4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6BB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D0FB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042E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4C4BEF1D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C6B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2703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7C9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3339F88A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111F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Stvaranje stabilnog, sigurnog i podržavajućeg okruženja za zasnivanje i zaštitu obitelji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AEFD2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698F22E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5797B970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0A81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5729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A891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57653F19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1D3C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66E2F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DC25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5D79BE53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2847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Unaprjeđenje uvjeta i organizacije rada školskih ustanova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08FAA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61643CB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B4D2D00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567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C9D3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A73E7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54FD36A1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28C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051B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6C55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18042E59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595C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Održivo i učinkovito planiranje prostora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FE495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33211A8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1F2A0E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DCBA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AC7F4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A333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7B1FFEFF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EC2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6D88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4C61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37F55203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68802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Održivo i učinkovito upravljanje imovinom u funkciji lokalnog razvoja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C6281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0CFBEE6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91E6996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153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25D1C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C041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33D4F7B3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6F8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3F47E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761E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625B2FA7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F5AD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 xml:space="preserve">Održivo i učinkovito upravljanje prostorom i poticanje razvoja zelene infrastrukture 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C57D4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4782073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339ABFE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00AB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ABCF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3F20D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4C96151F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8363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E16E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8FFB2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F5A43A7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52EB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Protupožarna zaštita i spašavanje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DDDE7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65C69BF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5A48D8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06E2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EBBD5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8A8E8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046F49C3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6EF5A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9323B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8AF7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17AB788B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D6AC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Održivo korištenje komunalne infrastrukture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6ED59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3AEC55F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340EB3BE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C37BA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29C22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C9BB9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04A5C476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247F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43DD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B688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40A4EE9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E85EE" w14:textId="7B979B20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Poticanje razvoja održive komunalne infrastrukture te dostupnih i priuštivih usluga na području Općine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4FBF7" w14:textId="3467E3E4" w:rsidR="00A97591" w:rsidRPr="00546D0E" w:rsidRDefault="007C01C7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7512F9E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6091768F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36CE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D67EA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81EC6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7F9EA1AF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2F1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F805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A4EB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DD0C955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DC05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Održavanje komunalne infrastrukture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9B17D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5DDACBFE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802CB0C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8979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C9AA1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4E85C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0717749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4329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DE7E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74CB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32088767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0FE2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Podrška razvoju suvremene prometne infrastrukture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FF93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3793895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158B01F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481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8E99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6C69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218FAADD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93CA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8127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A55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DC7B3F9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A92D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 xml:space="preserve">Poboljšanje održivosti sustava javnog prijevoza 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0F311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2779914B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B44A816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04D7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8D1BB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2C462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393BAAC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2E9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4D4C2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2ED0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FFA6C1D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3D64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Osiguranje kvalitetnog, dostupnog i priuštivog pristupa zdravstvenim uslugama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06C43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5E16139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41A19F62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495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2A6E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C042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02E6E283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52A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BF1FE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539A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1D9FD5D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C6B7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Razvoj mreže institucijskih i izvan institucijskih oblika skrbi za sve društvene skupine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3B70F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55928A8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99A0590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D73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136C4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A704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54E19729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45F9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434D9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082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1B63CE4D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0EC5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Poticanje razvoja kulture i održivo korištenje kulturne baštine kao temelja regionalnog i lokalnog identiteta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6B2E6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07A9E28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695F18A5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2C7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0940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8E0A6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350CC4E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151B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81F1C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624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14260096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B024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Poticanje unaprjeđenja sustava sporta i sportskih djelatnosti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40DC6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735161E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1F36A0B6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1455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E2C6B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ACA7B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5A033AC2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0194C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2E69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35A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3A597B2F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F1FE5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predstavničkog tijela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63B1A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1806077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4C5090D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85D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5E1FF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BAE29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7AC1880E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90D5E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29A3A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37D0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EA58448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D789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izvršnog tijela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854A1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42B3969B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F18B059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C56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D504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5B0B5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10A46DE2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220B2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28C0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30A9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7A681F79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2A3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mjesnog odbora Pasjak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7E216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08492DA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6F4DCAB6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68A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C1A4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96FAA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20C91A8F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8EFF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8F3F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501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9AFBA48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CAD2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mjesnog odbora Šapjane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A81EA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5636A6F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FF798F9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A154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E21D4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72DE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1CFA6D22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458B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BDFD6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E48A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453B3B7C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97383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mjesnog odbora Mune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15158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6C6A4DE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50C343B9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5D01A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D36EF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13F38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2705E3EB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9FE2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FD60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0724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72FA1AC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5812B" w14:textId="7B1D1DC2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mjesnog odbora Žejane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91D71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082B7B8E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F4C5C70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A07F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08FAF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F734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11708F01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2E04B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9282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696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34A84D6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AD323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Djelovanje ostalih mjesnih odbora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29AEA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1D2DDB80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FC089E2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6B63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97031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DD38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66E4DE5A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6631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447D7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DED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0599A194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082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Povećanje učinkovitosti općinske uprave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C7165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5B27169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2376E160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69A1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92E8A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B3115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2B78DD19" w14:textId="77777777" w:rsidTr="00A97591">
        <w:trPr>
          <w:trHeight w:val="20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E556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D653" w14:textId="77777777" w:rsidR="00A97591" w:rsidRPr="00546D0E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364B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43498EE8" w14:textId="77777777" w:rsidTr="00A97591">
        <w:trPr>
          <w:trHeight w:val="20"/>
          <w:jc w:val="center"/>
        </w:trPr>
        <w:tc>
          <w:tcPr>
            <w:tcW w:w="7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6D9AE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90550">
              <w:rPr>
                <w:rFonts w:ascii="Times New Roman" w:eastAsia="Times New Roman" w:hAnsi="Times New Roman" w:cs="Times New Roman"/>
                <w:lang w:eastAsia="hr-HR"/>
              </w:rPr>
              <w:t>Zaštita prava nacionalnih manjina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9BAA2" w14:textId="77777777" w:rsidR="00A97591" w:rsidRPr="00546D0E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546D0E">
              <w:rPr>
                <w:rFonts w:ascii="Times New Roman" w:eastAsia="Times New Roman" w:hAnsi="Times New Roman" w:cs="Times New Roman"/>
                <w:lang w:eastAsia="hr-HR"/>
              </w:rPr>
              <w:t>U TIJEKU</w:t>
            </w:r>
          </w:p>
        </w:tc>
        <w:tc>
          <w:tcPr>
            <w:tcW w:w="236" w:type="dxa"/>
            <w:vAlign w:val="center"/>
            <w:hideMark/>
          </w:tcPr>
          <w:p w14:paraId="1599AB33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97591" w:rsidRPr="00490550" w14:paraId="593C3C39" w14:textId="77777777" w:rsidTr="00A97591">
        <w:trPr>
          <w:trHeight w:val="222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29C7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BACC8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0474D" w14:textId="77777777" w:rsidR="00A97591" w:rsidRPr="00490550" w:rsidRDefault="00A97591" w:rsidP="00A97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97591" w:rsidRPr="00490550" w14:paraId="15C2CDA3" w14:textId="77777777" w:rsidTr="00A97591">
        <w:trPr>
          <w:trHeight w:val="222"/>
          <w:jc w:val="center"/>
        </w:trPr>
        <w:tc>
          <w:tcPr>
            <w:tcW w:w="7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3C1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9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E89D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8B9F5" w14:textId="77777777" w:rsidR="00A97591" w:rsidRPr="00490550" w:rsidRDefault="00A97591" w:rsidP="00A9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6CF1D5F3" w14:textId="77777777" w:rsidR="0092336A" w:rsidRPr="00490550" w:rsidRDefault="0092336A" w:rsidP="008C1ECA">
      <w:pPr>
        <w:jc w:val="both"/>
        <w:rPr>
          <w:rFonts w:ascii="Times New Roman" w:hAnsi="Times New Roman" w:cs="Times New Roman"/>
        </w:rPr>
      </w:pPr>
    </w:p>
    <w:p w14:paraId="779EC538" w14:textId="1913ECBE" w:rsidR="00903E14" w:rsidRPr="00490550" w:rsidRDefault="00E70965" w:rsidP="00D81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Detaljnije obrazloženje o statusu provedbe mjera dano je u tabličnom prikazu izvješća. </w:t>
      </w:r>
    </w:p>
    <w:p w14:paraId="34B8ED0C" w14:textId="1704BA26" w:rsidR="00B03EFE" w:rsidRDefault="00861BFD" w:rsidP="00B03E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910">
        <w:rPr>
          <w:rFonts w:ascii="Times New Roman" w:hAnsi="Times New Roman" w:cs="Times New Roman"/>
          <w:sz w:val="24"/>
          <w:szCs w:val="24"/>
        </w:rPr>
        <w:t xml:space="preserve">Od investicija u </w:t>
      </w:r>
      <w:r w:rsidR="006D74EB">
        <w:rPr>
          <w:rFonts w:ascii="Times New Roman" w:hAnsi="Times New Roman" w:cs="Times New Roman"/>
          <w:sz w:val="24"/>
          <w:szCs w:val="24"/>
        </w:rPr>
        <w:t xml:space="preserve">društvenu </w:t>
      </w:r>
      <w:r w:rsidRPr="00A21910">
        <w:rPr>
          <w:rFonts w:ascii="Times New Roman" w:hAnsi="Times New Roman" w:cs="Times New Roman"/>
          <w:sz w:val="24"/>
          <w:szCs w:val="24"/>
        </w:rPr>
        <w:t xml:space="preserve">infrastrukturu, </w:t>
      </w:r>
      <w:r w:rsidR="000B58C1" w:rsidRPr="00A21910">
        <w:rPr>
          <w:rFonts w:ascii="Times New Roman" w:hAnsi="Times New Roman" w:cs="Times New Roman"/>
          <w:sz w:val="24"/>
          <w:szCs w:val="24"/>
        </w:rPr>
        <w:t>završen</w:t>
      </w:r>
      <w:r w:rsidR="00B03EFE">
        <w:rPr>
          <w:rFonts w:ascii="Times New Roman" w:hAnsi="Times New Roman" w:cs="Times New Roman"/>
          <w:sz w:val="24"/>
          <w:szCs w:val="24"/>
        </w:rPr>
        <w:t xml:space="preserve"> je projekt ugradnje </w:t>
      </w:r>
      <w:r w:rsidR="00AC242F">
        <w:rPr>
          <w:rFonts w:ascii="Times New Roman" w:hAnsi="Times New Roman" w:cs="Times New Roman"/>
          <w:sz w:val="24"/>
          <w:szCs w:val="24"/>
        </w:rPr>
        <w:t>fotonaponskih</w:t>
      </w:r>
      <w:r w:rsidR="00B03EFE">
        <w:rPr>
          <w:rFonts w:ascii="Times New Roman" w:hAnsi="Times New Roman" w:cs="Times New Roman"/>
          <w:sz w:val="24"/>
          <w:szCs w:val="24"/>
        </w:rPr>
        <w:t xml:space="preserve"> panela na zgradi Zdravstvenog centra Matulji te je završeno uređenje zgrade Doma Permani </w:t>
      </w:r>
      <w:r w:rsidR="00AC242F">
        <w:rPr>
          <w:rFonts w:ascii="Times New Roman" w:hAnsi="Times New Roman" w:cs="Times New Roman"/>
          <w:sz w:val="24"/>
          <w:szCs w:val="24"/>
        </w:rPr>
        <w:t>i</w:t>
      </w:r>
      <w:r w:rsidR="00B03EFE">
        <w:rPr>
          <w:rFonts w:ascii="Times New Roman" w:hAnsi="Times New Roman" w:cs="Times New Roman"/>
          <w:sz w:val="24"/>
          <w:szCs w:val="24"/>
        </w:rPr>
        <w:t xml:space="preserve"> Doma Rukavac za potrebe praone Dječjeg vrtića Matulji. </w:t>
      </w:r>
      <w:r w:rsidR="00B03EFE" w:rsidRPr="00B03EFE">
        <w:rPr>
          <w:rFonts w:ascii="Times New Roman" w:hAnsi="Times New Roman" w:cs="Times New Roman"/>
          <w:sz w:val="24"/>
          <w:szCs w:val="24"/>
        </w:rPr>
        <w:t>Izrađena je projektna dokumentacije za izgradnju područnog dječjeg vrtića u Rukavcu te ishođena građevinska dozvola.</w:t>
      </w:r>
      <w:r w:rsidR="00B03EFE">
        <w:rPr>
          <w:rFonts w:ascii="Times New Roman" w:hAnsi="Times New Roman" w:cs="Times New Roman"/>
          <w:sz w:val="24"/>
          <w:szCs w:val="24"/>
        </w:rPr>
        <w:t xml:space="preserve"> </w:t>
      </w:r>
      <w:r w:rsidR="00B03EFE" w:rsidRPr="00B03EFE">
        <w:rPr>
          <w:rFonts w:ascii="Times New Roman" w:hAnsi="Times New Roman" w:cs="Times New Roman"/>
          <w:sz w:val="24"/>
          <w:szCs w:val="24"/>
        </w:rPr>
        <w:t>Započelo je uređenje dječjeg igrališta u sklopu D</w:t>
      </w:r>
      <w:r w:rsidR="00B03EFE">
        <w:rPr>
          <w:rFonts w:ascii="Times New Roman" w:hAnsi="Times New Roman" w:cs="Times New Roman"/>
          <w:sz w:val="24"/>
          <w:szCs w:val="24"/>
        </w:rPr>
        <w:t>ječjeg vrtića</w:t>
      </w:r>
      <w:r w:rsidR="00B03EFE" w:rsidRPr="00B03EFE">
        <w:rPr>
          <w:rFonts w:ascii="Times New Roman" w:hAnsi="Times New Roman" w:cs="Times New Roman"/>
          <w:sz w:val="24"/>
          <w:szCs w:val="24"/>
        </w:rPr>
        <w:t xml:space="preserve"> Matulji (područni objekt Rupa-Lipa). Izrađen je dio projektne dokumentacije za rekonstrukciju i uređenje Doma Hangar.</w:t>
      </w:r>
      <w:r w:rsidR="00B03E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811F15" w14:textId="5942A16A" w:rsidR="00A21910" w:rsidRPr="00B03EFE" w:rsidRDefault="006D74EB" w:rsidP="00B03E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komunalne infrastrukture, u</w:t>
      </w:r>
      <w:r w:rsidR="00A21910" w:rsidRPr="00A21910">
        <w:rPr>
          <w:rFonts w:ascii="Times New Roman" w:hAnsi="Times New Roman" w:cs="Times New Roman"/>
          <w:sz w:val="24"/>
          <w:szCs w:val="24"/>
        </w:rPr>
        <w:t xml:space="preserve"> tijeku su investicije na izgradnji/rekonstrukciji nerazvrstanih cesta - ceste GM-4, ceste GM-1, </w:t>
      </w:r>
      <w:r w:rsidR="00B03EFE">
        <w:rPr>
          <w:rFonts w:ascii="Times New Roman" w:hAnsi="Times New Roman" w:cs="Times New Roman"/>
          <w:sz w:val="24"/>
          <w:szCs w:val="24"/>
        </w:rPr>
        <w:t xml:space="preserve">ceste B-C-C1 (RZ-2), </w:t>
      </w:r>
      <w:r w:rsidR="00A21910" w:rsidRPr="00A21910">
        <w:rPr>
          <w:rFonts w:ascii="Times New Roman" w:hAnsi="Times New Roman" w:cs="Times New Roman"/>
          <w:sz w:val="24"/>
          <w:szCs w:val="24"/>
        </w:rPr>
        <w:t xml:space="preserve">sabirne ulice unutar poslovne zone Mučići II, ceste </w:t>
      </w:r>
      <w:r w:rsidR="00B03EFE">
        <w:rPr>
          <w:rFonts w:ascii="Times New Roman" w:hAnsi="Times New Roman" w:cs="Times New Roman"/>
          <w:sz w:val="24"/>
          <w:szCs w:val="24"/>
        </w:rPr>
        <w:t>Biškupi unutar UPU-8</w:t>
      </w:r>
      <w:r w:rsidR="00A21910" w:rsidRPr="00A21910">
        <w:rPr>
          <w:rFonts w:ascii="Times New Roman" w:hAnsi="Times New Roman" w:cs="Times New Roman"/>
          <w:sz w:val="24"/>
          <w:szCs w:val="24"/>
        </w:rPr>
        <w:t>, ceste GM-5,</w:t>
      </w:r>
      <w:r w:rsidR="00B03EFE">
        <w:rPr>
          <w:rFonts w:ascii="Times New Roman" w:hAnsi="Times New Roman" w:cs="Times New Roman"/>
          <w:sz w:val="24"/>
          <w:szCs w:val="24"/>
        </w:rPr>
        <w:t xml:space="preserve"> </w:t>
      </w:r>
      <w:r w:rsidR="00A21910" w:rsidRPr="00A21910">
        <w:rPr>
          <w:rFonts w:ascii="Times New Roman" w:hAnsi="Times New Roman" w:cs="Times New Roman"/>
          <w:sz w:val="24"/>
          <w:szCs w:val="24"/>
        </w:rPr>
        <w:t xml:space="preserve">dionice ceste "gornje igralište", </w:t>
      </w:r>
      <w:r w:rsidR="00B03EFE">
        <w:rPr>
          <w:rFonts w:ascii="Times New Roman" w:hAnsi="Times New Roman" w:cs="Times New Roman"/>
          <w:sz w:val="24"/>
          <w:szCs w:val="24"/>
        </w:rPr>
        <w:t xml:space="preserve">spojene ceste Branka Laginje </w:t>
      </w:r>
      <w:r>
        <w:rPr>
          <w:rFonts w:ascii="Times New Roman" w:hAnsi="Times New Roman" w:cs="Times New Roman"/>
          <w:sz w:val="24"/>
          <w:szCs w:val="24"/>
        </w:rPr>
        <w:t>-</w:t>
      </w:r>
      <w:r w:rsidR="00B03EFE">
        <w:rPr>
          <w:rFonts w:ascii="Times New Roman" w:hAnsi="Times New Roman" w:cs="Times New Roman"/>
          <w:sz w:val="24"/>
          <w:szCs w:val="24"/>
        </w:rPr>
        <w:t xml:space="preserve"> Jankovićava cesta, </w:t>
      </w:r>
      <w:r w:rsidR="00A21910" w:rsidRPr="00A21910">
        <w:rPr>
          <w:rFonts w:ascii="Times New Roman" w:hAnsi="Times New Roman" w:cs="Times New Roman"/>
          <w:sz w:val="24"/>
          <w:szCs w:val="24"/>
        </w:rPr>
        <w:t>ceste 43. istarske divizije, stambene ulice u zoni K4 unutar UPU Matulji</w:t>
      </w:r>
      <w:r w:rsidR="00B03EFE">
        <w:rPr>
          <w:rFonts w:ascii="Times New Roman" w:hAnsi="Times New Roman" w:cs="Times New Roman"/>
          <w:sz w:val="24"/>
          <w:szCs w:val="24"/>
        </w:rPr>
        <w:t xml:space="preserve"> te ceste 43. istarske divizije - Milana Frlana</w:t>
      </w:r>
      <w:r w:rsidR="00A21910">
        <w:rPr>
          <w:rFonts w:ascii="Times New Roman" w:hAnsi="Times New Roman" w:cs="Times New Roman"/>
          <w:sz w:val="24"/>
          <w:szCs w:val="24"/>
        </w:rPr>
        <w:t xml:space="preserve">. </w:t>
      </w:r>
      <w:r w:rsidR="00B03EFE">
        <w:rPr>
          <w:rFonts w:ascii="Times New Roman" w:hAnsi="Times New Roman" w:cs="Times New Roman"/>
          <w:sz w:val="24"/>
          <w:szCs w:val="24"/>
        </w:rPr>
        <w:t xml:space="preserve">U tijeku su radovi na izgradnji igrališta Principi. </w:t>
      </w:r>
    </w:p>
    <w:p w14:paraId="549B4D70" w14:textId="2881B5CE" w:rsidR="00861BFD" w:rsidRPr="00A21910" w:rsidRDefault="00861BFD" w:rsidP="00DE4B7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910">
        <w:rPr>
          <w:rFonts w:ascii="Times New Roman" w:hAnsi="Times New Roman" w:cs="Times New Roman"/>
          <w:sz w:val="24"/>
          <w:szCs w:val="24"/>
        </w:rPr>
        <w:lastRenderedPageBreak/>
        <w:t xml:space="preserve">U okviru društvenih djelatnosti </w:t>
      </w:r>
      <w:r w:rsidR="00DE4B77" w:rsidRPr="00A21910">
        <w:rPr>
          <w:rFonts w:ascii="Times New Roman" w:hAnsi="Times New Roman" w:cs="Times New Roman"/>
          <w:sz w:val="24"/>
          <w:szCs w:val="24"/>
        </w:rPr>
        <w:t>tijekom godine</w:t>
      </w:r>
      <w:r w:rsidRPr="00A21910">
        <w:rPr>
          <w:rFonts w:ascii="Times New Roman" w:hAnsi="Times New Roman" w:cs="Times New Roman"/>
          <w:sz w:val="24"/>
          <w:szCs w:val="24"/>
        </w:rPr>
        <w:t xml:space="preserve"> realiz</w:t>
      </w:r>
      <w:r w:rsidR="00DE4B77" w:rsidRPr="00A21910">
        <w:rPr>
          <w:rFonts w:ascii="Times New Roman" w:hAnsi="Times New Roman" w:cs="Times New Roman"/>
          <w:sz w:val="24"/>
          <w:szCs w:val="24"/>
        </w:rPr>
        <w:t xml:space="preserve">irani su </w:t>
      </w:r>
      <w:r w:rsidRPr="00A21910">
        <w:rPr>
          <w:rFonts w:ascii="Times New Roman" w:hAnsi="Times New Roman" w:cs="Times New Roman"/>
          <w:sz w:val="24"/>
          <w:szCs w:val="24"/>
        </w:rPr>
        <w:t>program</w:t>
      </w:r>
      <w:r w:rsidR="00DE4B77" w:rsidRPr="00A21910">
        <w:rPr>
          <w:rFonts w:ascii="Times New Roman" w:hAnsi="Times New Roman" w:cs="Times New Roman"/>
          <w:sz w:val="24"/>
          <w:szCs w:val="24"/>
        </w:rPr>
        <w:t>i</w:t>
      </w:r>
      <w:r w:rsidRPr="00A21910">
        <w:rPr>
          <w:rFonts w:ascii="Times New Roman" w:hAnsi="Times New Roman" w:cs="Times New Roman"/>
          <w:sz w:val="24"/>
          <w:szCs w:val="24"/>
        </w:rPr>
        <w:t xml:space="preserve"> i aktivnosti u području kulture, predškolskog odgoja, školstva, sporta, socijalne skrbi i zdravstvene zaštite, kao i provedba aktivnosti projekata „</w:t>
      </w:r>
      <w:r w:rsidR="006D74EB">
        <w:rPr>
          <w:rFonts w:ascii="Times New Roman" w:hAnsi="Times New Roman" w:cs="Times New Roman"/>
          <w:sz w:val="24"/>
          <w:szCs w:val="24"/>
        </w:rPr>
        <w:t>Zajedno u pomoći potrebitima</w:t>
      </w:r>
      <w:r w:rsidRPr="00A21910">
        <w:rPr>
          <w:rFonts w:ascii="Times New Roman" w:hAnsi="Times New Roman" w:cs="Times New Roman"/>
          <w:sz w:val="24"/>
          <w:szCs w:val="24"/>
        </w:rPr>
        <w:t>“ za koja su dobivena sredstva iz EU fondova</w:t>
      </w:r>
      <w:r w:rsidR="00A21910" w:rsidRPr="00A21910">
        <w:rPr>
          <w:rFonts w:ascii="Times New Roman" w:hAnsi="Times New Roman" w:cs="Times New Roman"/>
          <w:sz w:val="24"/>
          <w:szCs w:val="24"/>
        </w:rPr>
        <w:t xml:space="preserve"> koji je </w:t>
      </w:r>
      <w:r w:rsidR="006D74EB">
        <w:rPr>
          <w:rFonts w:ascii="Times New Roman" w:hAnsi="Times New Roman" w:cs="Times New Roman"/>
          <w:sz w:val="24"/>
          <w:szCs w:val="24"/>
        </w:rPr>
        <w:t>započeo u drugom polovici godine</w:t>
      </w:r>
      <w:r w:rsidR="00DE4B77" w:rsidRPr="00A21910">
        <w:rPr>
          <w:rFonts w:ascii="Times New Roman" w:hAnsi="Times New Roman" w:cs="Times New Roman"/>
          <w:sz w:val="24"/>
          <w:szCs w:val="24"/>
        </w:rPr>
        <w:t xml:space="preserve">. </w:t>
      </w:r>
      <w:r w:rsidRPr="00A21910">
        <w:rPr>
          <w:rFonts w:ascii="Times New Roman" w:hAnsi="Times New Roman" w:cs="Times New Roman"/>
          <w:sz w:val="24"/>
          <w:szCs w:val="24"/>
        </w:rPr>
        <w:t>Također, redovno s</w:t>
      </w:r>
      <w:r w:rsidR="00DE4B77" w:rsidRPr="00A21910">
        <w:rPr>
          <w:rFonts w:ascii="Times New Roman" w:hAnsi="Times New Roman" w:cs="Times New Roman"/>
          <w:sz w:val="24"/>
          <w:szCs w:val="24"/>
        </w:rPr>
        <w:t>u</w:t>
      </w:r>
      <w:r w:rsidRPr="00A21910">
        <w:rPr>
          <w:rFonts w:ascii="Times New Roman" w:hAnsi="Times New Roman" w:cs="Times New Roman"/>
          <w:sz w:val="24"/>
          <w:szCs w:val="24"/>
        </w:rPr>
        <w:t xml:space="preserve"> prov</w:t>
      </w:r>
      <w:r w:rsidR="00DE4B77" w:rsidRPr="00A21910">
        <w:rPr>
          <w:rFonts w:ascii="Times New Roman" w:hAnsi="Times New Roman" w:cs="Times New Roman"/>
          <w:sz w:val="24"/>
          <w:szCs w:val="24"/>
        </w:rPr>
        <w:t xml:space="preserve">ođene </w:t>
      </w:r>
      <w:r w:rsidRPr="00A21910">
        <w:rPr>
          <w:rFonts w:ascii="Times New Roman" w:hAnsi="Times New Roman" w:cs="Times New Roman"/>
          <w:sz w:val="24"/>
          <w:szCs w:val="24"/>
        </w:rPr>
        <w:t xml:space="preserve"> aktivnosti sukladno podnesenim zahtjevima stranaka za dodjelu pomoći iz socijalne skrbi, za novorođeno dijete, za sufinanciranje programa predškolskog odgoja, prijevoza učenika i studenata, a sve sukladno donesenim odlukama.</w:t>
      </w:r>
    </w:p>
    <w:p w14:paraId="674B7296" w14:textId="0B258CEF" w:rsidR="00861BFD" w:rsidRPr="00657FD2" w:rsidRDefault="00861BFD" w:rsidP="00D819D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7FD2">
        <w:rPr>
          <w:rFonts w:ascii="Times New Roman" w:hAnsi="Times New Roman" w:cs="Times New Roman"/>
          <w:sz w:val="24"/>
          <w:szCs w:val="24"/>
        </w:rPr>
        <w:t xml:space="preserve">Gledajući izvršenje proračuna prema planiranim rashodima i izdacima postotak izvršenja iznosi </w:t>
      </w:r>
      <w:r w:rsidR="00E91F63" w:rsidRPr="00657FD2">
        <w:rPr>
          <w:rFonts w:ascii="Times New Roman" w:hAnsi="Times New Roman" w:cs="Times New Roman"/>
          <w:sz w:val="24"/>
          <w:szCs w:val="24"/>
        </w:rPr>
        <w:t>6</w:t>
      </w:r>
      <w:r w:rsidR="009F6B79">
        <w:rPr>
          <w:rFonts w:ascii="Times New Roman" w:hAnsi="Times New Roman" w:cs="Times New Roman"/>
          <w:sz w:val="24"/>
          <w:szCs w:val="24"/>
        </w:rPr>
        <w:t>0</w:t>
      </w:r>
      <w:r w:rsidR="00657FD2" w:rsidRPr="00657FD2">
        <w:rPr>
          <w:rFonts w:ascii="Times New Roman" w:hAnsi="Times New Roman" w:cs="Times New Roman"/>
          <w:sz w:val="24"/>
          <w:szCs w:val="24"/>
        </w:rPr>
        <w:t>,</w:t>
      </w:r>
      <w:r w:rsidR="009F6B79">
        <w:rPr>
          <w:rFonts w:ascii="Times New Roman" w:hAnsi="Times New Roman" w:cs="Times New Roman"/>
          <w:sz w:val="24"/>
          <w:szCs w:val="24"/>
        </w:rPr>
        <w:t>7</w:t>
      </w:r>
      <w:r w:rsidR="00657FD2" w:rsidRPr="00657FD2">
        <w:rPr>
          <w:rFonts w:ascii="Times New Roman" w:hAnsi="Times New Roman" w:cs="Times New Roman"/>
          <w:sz w:val="24"/>
          <w:szCs w:val="24"/>
        </w:rPr>
        <w:t>%, dok g</w:t>
      </w:r>
      <w:r w:rsidRPr="00657FD2">
        <w:rPr>
          <w:rFonts w:ascii="Times New Roman" w:hAnsi="Times New Roman" w:cs="Times New Roman"/>
          <w:sz w:val="24"/>
          <w:szCs w:val="24"/>
        </w:rPr>
        <w:t xml:space="preserve">ledajući izvršenje proračuna na prihodovnoj strani, postotak izvršenja </w:t>
      </w:r>
      <w:r w:rsidR="00657FD2" w:rsidRPr="00657FD2">
        <w:rPr>
          <w:rFonts w:ascii="Times New Roman" w:hAnsi="Times New Roman" w:cs="Times New Roman"/>
          <w:sz w:val="24"/>
          <w:szCs w:val="24"/>
        </w:rPr>
        <w:t xml:space="preserve">je </w:t>
      </w:r>
      <w:r w:rsidR="009F6B79">
        <w:rPr>
          <w:rFonts w:ascii="Times New Roman" w:hAnsi="Times New Roman" w:cs="Times New Roman"/>
          <w:sz w:val="24"/>
          <w:szCs w:val="24"/>
        </w:rPr>
        <w:t>92,6</w:t>
      </w:r>
      <w:r w:rsidRPr="00657FD2">
        <w:rPr>
          <w:rFonts w:ascii="Times New Roman" w:hAnsi="Times New Roman" w:cs="Times New Roman"/>
          <w:sz w:val="24"/>
          <w:szCs w:val="24"/>
        </w:rPr>
        <w:t>%</w:t>
      </w:r>
      <w:r w:rsidR="00657FD2" w:rsidRPr="00657FD2">
        <w:rPr>
          <w:rFonts w:ascii="Times New Roman" w:hAnsi="Times New Roman" w:cs="Times New Roman"/>
          <w:sz w:val="24"/>
          <w:szCs w:val="24"/>
        </w:rPr>
        <w:t>.</w:t>
      </w:r>
    </w:p>
    <w:p w14:paraId="01FE05FC" w14:textId="305A8F75" w:rsidR="006E5624" w:rsidRDefault="00861BFD" w:rsidP="003E77E7">
      <w:pPr>
        <w:ind w:firstLine="708"/>
        <w:jc w:val="both"/>
        <w:rPr>
          <w:rFonts w:ascii="Times New Roman" w:hAnsi="Times New Roman" w:cs="Times New Roman"/>
        </w:rPr>
      </w:pPr>
      <w:r w:rsidRPr="00657FD2">
        <w:rPr>
          <w:rFonts w:ascii="Times New Roman" w:hAnsi="Times New Roman" w:cs="Times New Roman"/>
          <w:sz w:val="24"/>
          <w:szCs w:val="24"/>
        </w:rPr>
        <w:t xml:space="preserve">Obavljanje upravnih i drugih poslova iz djelokruga rada Općine odvija se redovno i neometano, bez većih poteškoća i problema uz </w:t>
      </w:r>
      <w:r w:rsidR="00F35261" w:rsidRPr="00657FD2">
        <w:rPr>
          <w:rFonts w:ascii="Times New Roman" w:hAnsi="Times New Roman" w:cs="Times New Roman"/>
          <w:sz w:val="24"/>
          <w:szCs w:val="24"/>
        </w:rPr>
        <w:t xml:space="preserve">rad i </w:t>
      </w:r>
      <w:r w:rsidRPr="00657FD2">
        <w:rPr>
          <w:rFonts w:ascii="Times New Roman" w:hAnsi="Times New Roman" w:cs="Times New Roman"/>
          <w:sz w:val="24"/>
          <w:szCs w:val="24"/>
        </w:rPr>
        <w:t>trud službenika čime se osigurava učinkovita provedba mjera iz Provedbenog programa.</w:t>
      </w:r>
    </w:p>
    <w:p w14:paraId="2BAECD24" w14:textId="77777777" w:rsidR="007B2AE7" w:rsidRPr="00490550" w:rsidRDefault="007B2AE7" w:rsidP="007474C5">
      <w:pPr>
        <w:jc w:val="both"/>
        <w:rPr>
          <w:rFonts w:ascii="Times New Roman" w:hAnsi="Times New Roman" w:cs="Times New Roman"/>
        </w:rPr>
      </w:pPr>
    </w:p>
    <w:p w14:paraId="2930BC3E" w14:textId="5B4AE03B" w:rsidR="007474C5" w:rsidRPr="00490550" w:rsidRDefault="003B2DA5" w:rsidP="003B2DA5">
      <w:pPr>
        <w:pStyle w:val="Naslov2"/>
        <w:rPr>
          <w:rFonts w:ascii="Times New Roman" w:hAnsi="Times New Roman" w:cs="Times New Roman"/>
        </w:rPr>
      </w:pPr>
      <w:r w:rsidRPr="00490550">
        <w:rPr>
          <w:rFonts w:ascii="Times New Roman" w:hAnsi="Times New Roman" w:cs="Times New Roman"/>
        </w:rPr>
        <w:t>2.2. PODACI O PRORAČUNSKIM SREDSTVIMA ISKORIŠTENIM ZA PROVEDBU POJEDINE MJERE</w:t>
      </w:r>
    </w:p>
    <w:p w14:paraId="3FC00F72" w14:textId="77777777" w:rsidR="0092336A" w:rsidRPr="00490550" w:rsidRDefault="0092336A" w:rsidP="008C1E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2442FC" w14:textId="0C7F63BA" w:rsidR="008C1ECA" w:rsidRPr="00490550" w:rsidRDefault="008C1ECA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Provedbenim programom je za svaku mjeru utvrđen i procijenjeni trošak provedbe mjere povezujući se na planirane proračunske stavke. U izvještajnom razdoblju izvršenje proračunskih sredstava za provedbu svih mjera iznosi ukupno </w:t>
      </w:r>
      <w:r w:rsidR="009A77A7">
        <w:rPr>
          <w:rFonts w:ascii="Times New Roman" w:hAnsi="Times New Roman" w:cs="Times New Roman"/>
          <w:sz w:val="24"/>
          <w:szCs w:val="24"/>
        </w:rPr>
        <w:t>10</w:t>
      </w:r>
      <w:r w:rsidR="003504C8" w:rsidRPr="003504C8">
        <w:rPr>
          <w:rFonts w:ascii="Times New Roman" w:hAnsi="Times New Roman" w:cs="Times New Roman"/>
          <w:sz w:val="24"/>
          <w:szCs w:val="24"/>
        </w:rPr>
        <w:t>.</w:t>
      </w:r>
      <w:r w:rsidR="009A77A7">
        <w:rPr>
          <w:rFonts w:ascii="Times New Roman" w:hAnsi="Times New Roman" w:cs="Times New Roman"/>
          <w:sz w:val="24"/>
          <w:szCs w:val="24"/>
        </w:rPr>
        <w:t>212</w:t>
      </w:r>
      <w:r w:rsidR="003504C8" w:rsidRPr="003504C8">
        <w:rPr>
          <w:rFonts w:ascii="Times New Roman" w:hAnsi="Times New Roman" w:cs="Times New Roman"/>
          <w:sz w:val="24"/>
          <w:szCs w:val="24"/>
        </w:rPr>
        <w:t>.</w:t>
      </w:r>
      <w:r w:rsidR="009A77A7">
        <w:rPr>
          <w:rFonts w:ascii="Times New Roman" w:hAnsi="Times New Roman" w:cs="Times New Roman"/>
          <w:sz w:val="24"/>
          <w:szCs w:val="24"/>
        </w:rPr>
        <w:t>230,76</w:t>
      </w:r>
      <w:r w:rsidR="003504C8" w:rsidRPr="003504C8">
        <w:rPr>
          <w:rFonts w:ascii="Times New Roman" w:hAnsi="Times New Roman" w:cs="Times New Roman"/>
          <w:sz w:val="24"/>
          <w:szCs w:val="24"/>
        </w:rPr>
        <w:t xml:space="preserve"> </w:t>
      </w:r>
      <w:r w:rsidR="003504C8">
        <w:rPr>
          <w:rFonts w:ascii="Times New Roman" w:hAnsi="Times New Roman" w:cs="Times New Roman"/>
          <w:sz w:val="24"/>
          <w:szCs w:val="24"/>
        </w:rPr>
        <w:t>eura</w:t>
      </w:r>
      <w:r w:rsidRPr="00490550">
        <w:rPr>
          <w:rFonts w:ascii="Times New Roman" w:hAnsi="Times New Roman" w:cs="Times New Roman"/>
          <w:sz w:val="24"/>
          <w:szCs w:val="24"/>
        </w:rPr>
        <w:t>.</w:t>
      </w:r>
    </w:p>
    <w:p w14:paraId="4F0AD4EF" w14:textId="6D97B076" w:rsidR="006705B7" w:rsidRPr="00490550" w:rsidRDefault="006705B7" w:rsidP="008C1E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597E53" w14:textId="40EA0613" w:rsidR="006705B7" w:rsidRDefault="006705B7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U nastavku se nalazi tablica s prikazom iznosa utrošenih proračunskih sredstava za izvještajno razdoblje 01.01.-3</w:t>
      </w:r>
      <w:r w:rsidR="00546D0E">
        <w:rPr>
          <w:rFonts w:ascii="Times New Roman" w:hAnsi="Times New Roman" w:cs="Times New Roman"/>
          <w:sz w:val="24"/>
          <w:szCs w:val="24"/>
        </w:rPr>
        <w:t>1</w:t>
      </w:r>
      <w:r w:rsidRPr="00490550">
        <w:rPr>
          <w:rFonts w:ascii="Times New Roman" w:hAnsi="Times New Roman" w:cs="Times New Roman"/>
          <w:sz w:val="24"/>
          <w:szCs w:val="24"/>
        </w:rPr>
        <w:t>.</w:t>
      </w:r>
      <w:r w:rsidR="00546D0E">
        <w:rPr>
          <w:rFonts w:ascii="Times New Roman" w:hAnsi="Times New Roman" w:cs="Times New Roman"/>
          <w:sz w:val="24"/>
          <w:szCs w:val="24"/>
        </w:rPr>
        <w:t>12</w:t>
      </w:r>
      <w:r w:rsidRPr="00490550">
        <w:rPr>
          <w:rFonts w:ascii="Times New Roman" w:hAnsi="Times New Roman" w:cs="Times New Roman"/>
          <w:sz w:val="24"/>
          <w:szCs w:val="24"/>
        </w:rPr>
        <w:t>.202</w:t>
      </w:r>
      <w:r w:rsidR="009A77A7">
        <w:rPr>
          <w:rFonts w:ascii="Times New Roman" w:hAnsi="Times New Roman" w:cs="Times New Roman"/>
          <w:sz w:val="24"/>
          <w:szCs w:val="24"/>
        </w:rPr>
        <w:t>4</w:t>
      </w:r>
      <w:r w:rsidRPr="00490550">
        <w:rPr>
          <w:rFonts w:ascii="Times New Roman" w:hAnsi="Times New Roman" w:cs="Times New Roman"/>
          <w:sz w:val="24"/>
          <w:szCs w:val="24"/>
        </w:rPr>
        <w:t>. godine za svaku mjeru definiranu Provedbenim programom.</w:t>
      </w:r>
    </w:p>
    <w:p w14:paraId="6ABF0C43" w14:textId="77777777" w:rsidR="009A77A7" w:rsidRDefault="009A77A7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0"/>
        <w:gridCol w:w="2000"/>
        <w:gridCol w:w="2440"/>
      </w:tblGrid>
      <w:tr w:rsidR="009A77A7" w:rsidRPr="009A77A7" w14:paraId="2C56ACAC" w14:textId="77777777" w:rsidTr="009A77A7">
        <w:trPr>
          <w:trHeight w:val="870"/>
          <w:jc w:val="center"/>
        </w:trPr>
        <w:tc>
          <w:tcPr>
            <w:tcW w:w="5380" w:type="dxa"/>
            <w:shd w:val="clear" w:color="000000" w:fill="DDEBF7"/>
            <w:vAlign w:val="center"/>
            <w:hideMark/>
          </w:tcPr>
          <w:p w14:paraId="3C841853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Naziv mjere</w:t>
            </w:r>
          </w:p>
        </w:tc>
        <w:tc>
          <w:tcPr>
            <w:tcW w:w="2000" w:type="dxa"/>
            <w:shd w:val="clear" w:color="000000" w:fill="DDEBF7"/>
            <w:vAlign w:val="center"/>
            <w:hideMark/>
          </w:tcPr>
          <w:p w14:paraId="32A5F09C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Procijenjeni trošak </w:t>
            </w:r>
            <w:r w:rsidRPr="009A77A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br/>
              <w:t xml:space="preserve">provedbe mjere </w:t>
            </w:r>
            <w:r w:rsidRPr="009A77A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br/>
              <w:t>2022.-2025.</w:t>
            </w:r>
          </w:p>
        </w:tc>
        <w:tc>
          <w:tcPr>
            <w:tcW w:w="2440" w:type="dxa"/>
            <w:shd w:val="clear" w:color="000000" w:fill="DDEBF7"/>
            <w:vAlign w:val="center"/>
            <w:hideMark/>
          </w:tcPr>
          <w:p w14:paraId="230C5CF3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Iznos utrošenih proračunskih sredstava 01.01.-31.12.2024.</w:t>
            </w:r>
          </w:p>
        </w:tc>
      </w:tr>
      <w:tr w:rsidR="009A77A7" w:rsidRPr="009A77A7" w14:paraId="65CF7637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142B0686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Podrška jačanju konkurentnosti mikro, malog i srednjeg poduzetništva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51A5F375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615.052,25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679B2DB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172.665,69 </w:t>
            </w:r>
          </w:p>
        </w:tc>
      </w:tr>
      <w:tr w:rsidR="009A77A7" w:rsidRPr="009A77A7" w14:paraId="70E58C97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62F70314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Unaprjeđenje uvjeta i organizacije rada predškolskih ustanova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393E1412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9.079.774,55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D94CF68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2.387.226,43 </w:t>
            </w:r>
          </w:p>
        </w:tc>
      </w:tr>
      <w:tr w:rsidR="009A77A7" w:rsidRPr="009A77A7" w14:paraId="1EE4B506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314F6575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Stvaranje stabilnog, sigurnog i podržavajućeg okruženja za zasnivanje i zaštitu obitelji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4DF402DC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8.356.155,14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51E8518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267.925,44 </w:t>
            </w:r>
          </w:p>
        </w:tc>
      </w:tr>
      <w:tr w:rsidR="009A77A7" w:rsidRPr="009A77A7" w14:paraId="7F4349DB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47016FB6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Unaprjeđenje uvjeta i organizacije rada školskih ustanova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1D276C5D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1.567.471,54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C74FE0F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444.184,82 </w:t>
            </w:r>
          </w:p>
        </w:tc>
      </w:tr>
      <w:tr w:rsidR="009A77A7" w:rsidRPr="009A77A7" w14:paraId="383B4494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5375508A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Održivo i učinkovito planiranje prostora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569FB33F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478.403,73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7AC4E0E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32.623,86 </w:t>
            </w:r>
          </w:p>
        </w:tc>
      </w:tr>
      <w:tr w:rsidR="009A77A7" w:rsidRPr="009A77A7" w14:paraId="2EC167C9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54C2C545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Održivo i učinkovito upravljanje imovinom u funkciji lokalnog razvoja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4F16CA4C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11.951.434,94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85BA478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1.037.567,69 </w:t>
            </w:r>
          </w:p>
        </w:tc>
      </w:tr>
      <w:tr w:rsidR="009A77A7" w:rsidRPr="009A77A7" w14:paraId="59348933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4CB75BD7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Održivo i učinkovito upravljanje prostorom i poticanje razvoja zelene infrastrukture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314B2E6F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2.051.280,21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2C411E4F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131.238,09 </w:t>
            </w:r>
          </w:p>
        </w:tc>
      </w:tr>
      <w:tr w:rsidR="009A77A7" w:rsidRPr="009A77A7" w14:paraId="073EFBAF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4F8054D3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Protupožarna zaštita i spašavanje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094300B1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2.000.361,36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A7E3833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520.254,26 </w:t>
            </w:r>
          </w:p>
        </w:tc>
      </w:tr>
      <w:tr w:rsidR="009A77A7" w:rsidRPr="009A77A7" w14:paraId="02841934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164A256B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Održivo korištenje komunalne infrastrukture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358A403B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468.098,14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3CEE06B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54.046,34 </w:t>
            </w:r>
          </w:p>
        </w:tc>
      </w:tr>
      <w:tr w:rsidR="009A77A7" w:rsidRPr="009A77A7" w14:paraId="52466528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20C79970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 Poticanje razvoja održive komunalne infrastrukture te dostupnih i priuštivih usluga na području Općine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24562459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10.287.431,65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7BD3FD4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314.722,90 </w:t>
            </w:r>
          </w:p>
        </w:tc>
      </w:tr>
      <w:tr w:rsidR="009A77A7" w:rsidRPr="009A77A7" w14:paraId="7066F8E7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71A391C2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lastRenderedPageBreak/>
              <w:t>Održavanje komunalne infrastrukture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2B1BC4B3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5.936.439,69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355DF5E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1.477.771,40 </w:t>
            </w:r>
          </w:p>
        </w:tc>
      </w:tr>
      <w:tr w:rsidR="009A77A7" w:rsidRPr="009A77A7" w14:paraId="602D5A4A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3967BB5E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Podrška razvoju suvremene prometne infrastrukture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5B8BCBF4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630.427,49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D1C426F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112.508,92 </w:t>
            </w:r>
          </w:p>
        </w:tc>
      </w:tr>
      <w:tr w:rsidR="009A77A7" w:rsidRPr="009A77A7" w14:paraId="1883B7B9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46EDAB0A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Poboljšanje održivosti sustava javnog prijevoza 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26C77687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3.171.065,98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4D1ACEFE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784.313,52 </w:t>
            </w:r>
          </w:p>
        </w:tc>
      </w:tr>
      <w:tr w:rsidR="009A77A7" w:rsidRPr="009A77A7" w14:paraId="09F1980D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102BF8B2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Osiguranje kvalitetnog, dostupnog i priuštivog pristupa zdravstvenim uslugama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01F078E5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326.865,95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15A8D76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77.934,80 </w:t>
            </w:r>
          </w:p>
        </w:tc>
      </w:tr>
      <w:tr w:rsidR="009A77A7" w:rsidRPr="009A77A7" w14:paraId="1B6AD6F7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1462ED55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Razvoj mreže institucijskih i izvan institucijskih oblika skrbi za sve društvene skupine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32378896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1.685.850,82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77FC30F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306.519,37 </w:t>
            </w:r>
          </w:p>
        </w:tc>
      </w:tr>
      <w:tr w:rsidR="009A77A7" w:rsidRPr="009A77A7" w14:paraId="6736C656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6CC58444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Poticanje razvoja kulture i održivo korištenje kulturne baštine kao temelja regionalnog i lokalnog identiteta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707009EE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1.575.431,43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539D897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409.453,20 </w:t>
            </w:r>
          </w:p>
        </w:tc>
      </w:tr>
      <w:tr w:rsidR="009A77A7" w:rsidRPr="009A77A7" w14:paraId="0B240594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3B63B4E6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Poticanje unaprjeđenja sustava sporta i sportskih djelatnosti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7B1FA55B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1.218.609,92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817910B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236.964,36 </w:t>
            </w:r>
          </w:p>
        </w:tc>
      </w:tr>
      <w:tr w:rsidR="009A77A7" w:rsidRPr="009A77A7" w14:paraId="4B710DED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7FF6A32D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predstavničkog tijela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33DF0031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521.429,12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D17219C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110.425,29 </w:t>
            </w:r>
          </w:p>
        </w:tc>
      </w:tr>
      <w:tr w:rsidR="009A77A7" w:rsidRPr="009A77A7" w14:paraId="60456BDA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4B30160A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izvršnog tijela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0ECA486A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642.204,67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0148C8A1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151.446,28 </w:t>
            </w:r>
          </w:p>
        </w:tc>
      </w:tr>
      <w:tr w:rsidR="009A77A7" w:rsidRPr="009A77A7" w14:paraId="274F4D70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62478035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mjesnog odbora Pasjak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6C0E59C7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194.442,04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7D97100A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10.829,61 </w:t>
            </w:r>
          </w:p>
        </w:tc>
      </w:tr>
      <w:tr w:rsidR="009A77A7" w:rsidRPr="009A77A7" w14:paraId="4624FACE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285A9AA1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mjesnog odbora Šapjane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36EADD45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57.283,08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B375E2E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597,09 </w:t>
            </w:r>
          </w:p>
        </w:tc>
      </w:tr>
      <w:tr w:rsidR="009A77A7" w:rsidRPr="009A77A7" w14:paraId="7D217D66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13B6807D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mjesnog odbora Mune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5B6BF21B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92.645,77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5733E693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2.805,13 </w:t>
            </w:r>
          </w:p>
        </w:tc>
      </w:tr>
      <w:tr w:rsidR="009A77A7" w:rsidRPr="009A77A7" w14:paraId="66277CF2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08D4B6C2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mjesnog odbora Žejane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6373D7F6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14.298,01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6E30EE01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269,30 </w:t>
            </w:r>
          </w:p>
        </w:tc>
      </w:tr>
      <w:tr w:rsidR="009A77A7" w:rsidRPr="009A77A7" w14:paraId="7F72C28F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13F12F00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Djelovanje ostalih mjesnih odbora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26A4D9BC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160.687,96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1D41C6C2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21.606,70 </w:t>
            </w:r>
          </w:p>
        </w:tc>
      </w:tr>
      <w:tr w:rsidR="009A77A7" w:rsidRPr="009A77A7" w14:paraId="26ADBB9E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709EF017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Povećanje učinkovitosti općinske uprave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1C6DA435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4.808.068,15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54156DA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1.139.918,83 </w:t>
            </w:r>
          </w:p>
        </w:tc>
      </w:tr>
      <w:tr w:rsidR="009A77A7" w:rsidRPr="009A77A7" w14:paraId="4B1B9E42" w14:textId="77777777" w:rsidTr="009A77A7">
        <w:trPr>
          <w:trHeight w:val="402"/>
          <w:jc w:val="center"/>
        </w:trPr>
        <w:tc>
          <w:tcPr>
            <w:tcW w:w="5380" w:type="dxa"/>
            <w:shd w:val="clear" w:color="000000" w:fill="FFFFFF"/>
            <w:vAlign w:val="center"/>
            <w:hideMark/>
          </w:tcPr>
          <w:p w14:paraId="72036EBE" w14:textId="77777777" w:rsidR="009A77A7" w:rsidRPr="009A77A7" w:rsidRDefault="009A77A7" w:rsidP="009A77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>Zaštita prava nacionalnih manjina</w:t>
            </w:r>
          </w:p>
        </w:tc>
        <w:tc>
          <w:tcPr>
            <w:tcW w:w="2000" w:type="dxa"/>
            <w:shd w:val="clear" w:color="auto" w:fill="auto"/>
            <w:vAlign w:val="center"/>
            <w:hideMark/>
          </w:tcPr>
          <w:p w14:paraId="08BC60C5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40.498,40</w:t>
            </w:r>
          </w:p>
        </w:tc>
        <w:tc>
          <w:tcPr>
            <w:tcW w:w="2440" w:type="dxa"/>
            <w:shd w:val="clear" w:color="auto" w:fill="auto"/>
            <w:vAlign w:val="center"/>
            <w:hideMark/>
          </w:tcPr>
          <w:p w14:paraId="3DD90EDA" w14:textId="77777777" w:rsidR="009A77A7" w:rsidRPr="009A77A7" w:rsidRDefault="009A77A7" w:rsidP="009A7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r-HR"/>
              </w:rPr>
            </w:pPr>
            <w:r w:rsidRPr="009A77A7">
              <w:rPr>
                <w:rFonts w:ascii="Times New Roman" w:eastAsia="Times New Roman" w:hAnsi="Times New Roman" w:cs="Times New Roman"/>
                <w:lang w:eastAsia="hr-HR"/>
              </w:rPr>
              <w:t xml:space="preserve">6.411,44 </w:t>
            </w:r>
          </w:p>
        </w:tc>
      </w:tr>
    </w:tbl>
    <w:p w14:paraId="29A88FDF" w14:textId="77777777" w:rsidR="009A77A7" w:rsidRDefault="009A77A7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1F41F5" w14:textId="77777777" w:rsidR="009A77A7" w:rsidRDefault="009A77A7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72330B" w14:textId="77777777" w:rsidR="009A77A7" w:rsidRPr="00490550" w:rsidRDefault="009A77A7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CFA58C" w14:textId="170ED98F" w:rsidR="00A97591" w:rsidRDefault="00A97591" w:rsidP="008C1EC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0D1ABE" w14:textId="1F673D63" w:rsidR="0092336A" w:rsidRPr="00490550" w:rsidRDefault="003B2DA5" w:rsidP="003B2DA5">
      <w:pPr>
        <w:pStyle w:val="Naslov2"/>
        <w:rPr>
          <w:rFonts w:ascii="Times New Roman" w:hAnsi="Times New Roman" w:cs="Times New Roman"/>
        </w:rPr>
      </w:pPr>
      <w:r w:rsidRPr="00490550">
        <w:rPr>
          <w:rFonts w:ascii="Times New Roman" w:hAnsi="Times New Roman" w:cs="Times New Roman"/>
        </w:rPr>
        <w:t>2.3. ZAKLJUČAK O OSTVARENOM NAPRETKU U PROVEDBI MJERA</w:t>
      </w:r>
    </w:p>
    <w:p w14:paraId="30C3183C" w14:textId="77777777" w:rsidR="007C33C9" w:rsidRPr="00490550" w:rsidRDefault="007C33C9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72BF709" w14:textId="41FD8058" w:rsidR="00D51A55" w:rsidRDefault="00D36B3E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Promatrajući</w:t>
      </w:r>
      <w:r w:rsidR="00D51A55" w:rsidRPr="004905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</w:t>
      </w:r>
      <w:r w:rsidR="00D51A55" w:rsidRPr="00490550">
        <w:rPr>
          <w:rFonts w:ascii="Times New Roman" w:hAnsi="Times New Roman" w:cs="Times New Roman"/>
          <w:sz w:val="24"/>
          <w:szCs w:val="24"/>
        </w:rPr>
        <w:t>stvarenje</w:t>
      </w:r>
      <w:r w:rsidR="00E70965" w:rsidRPr="00490550">
        <w:rPr>
          <w:rFonts w:ascii="Times New Roman" w:hAnsi="Times New Roman" w:cs="Times New Roman"/>
          <w:sz w:val="24"/>
          <w:szCs w:val="24"/>
        </w:rPr>
        <w:t xml:space="preserve"> mjera Provedbenog programa </w:t>
      </w:r>
      <w:r w:rsidR="00435055" w:rsidRPr="00490550">
        <w:rPr>
          <w:rFonts w:ascii="Times New Roman" w:hAnsi="Times New Roman" w:cs="Times New Roman"/>
          <w:sz w:val="24"/>
          <w:szCs w:val="24"/>
        </w:rPr>
        <w:t>Općine Matulji za</w:t>
      </w:r>
      <w:r w:rsidR="00E70965" w:rsidRPr="00490550">
        <w:rPr>
          <w:rFonts w:ascii="Times New Roman" w:hAnsi="Times New Roman" w:cs="Times New Roman"/>
          <w:sz w:val="24"/>
          <w:szCs w:val="24"/>
        </w:rPr>
        <w:t xml:space="preserve"> ovo izvještajno razdoblju može se </w:t>
      </w:r>
      <w:r>
        <w:rPr>
          <w:rFonts w:ascii="Times New Roman" w:hAnsi="Times New Roman" w:cs="Times New Roman"/>
          <w:sz w:val="24"/>
          <w:szCs w:val="24"/>
        </w:rPr>
        <w:t xml:space="preserve">zaključiti </w:t>
      </w:r>
      <w:r w:rsidR="00E70965" w:rsidRPr="00490550">
        <w:rPr>
          <w:rFonts w:ascii="Times New Roman" w:hAnsi="Times New Roman" w:cs="Times New Roman"/>
          <w:sz w:val="24"/>
          <w:szCs w:val="24"/>
        </w:rPr>
        <w:t xml:space="preserve">da </w:t>
      </w:r>
      <w:r w:rsidR="00923445" w:rsidRPr="00490550">
        <w:rPr>
          <w:rFonts w:ascii="Times New Roman" w:hAnsi="Times New Roman" w:cs="Times New Roman"/>
          <w:sz w:val="24"/>
          <w:szCs w:val="24"/>
        </w:rPr>
        <w:t xml:space="preserve">je ostvaren napredak te da </w:t>
      </w:r>
      <w:r w:rsidR="00E70965" w:rsidRPr="00490550">
        <w:rPr>
          <w:rFonts w:ascii="Times New Roman" w:hAnsi="Times New Roman" w:cs="Times New Roman"/>
          <w:sz w:val="24"/>
          <w:szCs w:val="24"/>
        </w:rPr>
        <w:t>se mjere provode prema planiranoj dinamici</w:t>
      </w:r>
      <w:r w:rsidR="00923445" w:rsidRPr="00490550">
        <w:rPr>
          <w:rFonts w:ascii="Times New Roman" w:hAnsi="Times New Roman" w:cs="Times New Roman"/>
          <w:sz w:val="24"/>
          <w:szCs w:val="24"/>
        </w:rPr>
        <w:t xml:space="preserve"> i</w:t>
      </w:r>
      <w:r w:rsidR="00E70965" w:rsidRPr="00490550">
        <w:rPr>
          <w:rFonts w:ascii="Times New Roman" w:hAnsi="Times New Roman" w:cs="Times New Roman"/>
          <w:sz w:val="24"/>
          <w:szCs w:val="24"/>
        </w:rPr>
        <w:t xml:space="preserve"> da je napredak kod većine mjera u skladu s planiranim.</w:t>
      </w:r>
      <w:r w:rsidR="00780274" w:rsidRPr="00490550">
        <w:rPr>
          <w:rFonts w:ascii="Times New Roman" w:hAnsi="Times New Roman" w:cs="Times New Roman"/>
          <w:sz w:val="24"/>
          <w:szCs w:val="24"/>
        </w:rPr>
        <w:t xml:space="preserve"> Sve mjere su tijeku provedbe</w:t>
      </w:r>
      <w:r w:rsidR="00780274" w:rsidRPr="00134EC1">
        <w:rPr>
          <w:rFonts w:ascii="Times New Roman" w:hAnsi="Times New Roman" w:cs="Times New Roman"/>
          <w:sz w:val="24"/>
          <w:szCs w:val="24"/>
        </w:rPr>
        <w:t xml:space="preserve">, dok su kod određenih mjera pojedini pokazatelji ostvareni </w:t>
      </w:r>
      <w:r w:rsidR="00134EC1" w:rsidRPr="00134EC1">
        <w:rPr>
          <w:rFonts w:ascii="Times New Roman" w:hAnsi="Times New Roman" w:cs="Times New Roman"/>
          <w:sz w:val="24"/>
          <w:szCs w:val="24"/>
        </w:rPr>
        <w:t xml:space="preserve">ispod </w:t>
      </w:r>
      <w:r w:rsidR="00780274" w:rsidRPr="00134EC1">
        <w:rPr>
          <w:rFonts w:ascii="Times New Roman" w:hAnsi="Times New Roman" w:cs="Times New Roman"/>
          <w:sz w:val="24"/>
          <w:szCs w:val="24"/>
        </w:rPr>
        <w:t>ciljne vrijednosti za 202</w:t>
      </w:r>
      <w:r w:rsidR="009A77A7">
        <w:rPr>
          <w:rFonts w:ascii="Times New Roman" w:hAnsi="Times New Roman" w:cs="Times New Roman"/>
          <w:sz w:val="24"/>
          <w:szCs w:val="24"/>
        </w:rPr>
        <w:t>4</w:t>
      </w:r>
      <w:r w:rsidR="00780274" w:rsidRPr="00134EC1">
        <w:rPr>
          <w:rFonts w:ascii="Times New Roman" w:hAnsi="Times New Roman" w:cs="Times New Roman"/>
          <w:sz w:val="24"/>
          <w:szCs w:val="24"/>
        </w:rPr>
        <w:t>. godinu</w:t>
      </w:r>
      <w:r w:rsidR="00134EC1" w:rsidRPr="00134EC1">
        <w:rPr>
          <w:rFonts w:ascii="Times New Roman" w:hAnsi="Times New Roman" w:cs="Times New Roman"/>
          <w:sz w:val="24"/>
          <w:szCs w:val="24"/>
        </w:rPr>
        <w:t>.</w:t>
      </w:r>
      <w:r w:rsidR="00134EC1">
        <w:rPr>
          <w:rFonts w:ascii="Times New Roman" w:hAnsi="Times New Roman" w:cs="Times New Roman"/>
          <w:sz w:val="24"/>
          <w:szCs w:val="24"/>
        </w:rPr>
        <w:t xml:space="preserve"> </w:t>
      </w:r>
      <w:r w:rsidR="00657393" w:rsidRPr="007B512F">
        <w:rPr>
          <w:rFonts w:ascii="Times New Roman" w:hAnsi="Times New Roman" w:cs="Times New Roman"/>
          <w:sz w:val="24"/>
          <w:szCs w:val="24"/>
        </w:rPr>
        <w:t>D</w:t>
      </w:r>
      <w:r w:rsidR="00923445" w:rsidRPr="007B512F">
        <w:rPr>
          <w:rFonts w:ascii="Times New Roman" w:hAnsi="Times New Roman" w:cs="Times New Roman"/>
          <w:sz w:val="24"/>
          <w:szCs w:val="24"/>
        </w:rPr>
        <w:t>jelomično zaostajanj</w:t>
      </w:r>
      <w:r w:rsidR="00657393" w:rsidRPr="007B512F">
        <w:rPr>
          <w:rFonts w:ascii="Times New Roman" w:hAnsi="Times New Roman" w:cs="Times New Roman"/>
          <w:sz w:val="24"/>
          <w:szCs w:val="24"/>
        </w:rPr>
        <w:t>e</w:t>
      </w:r>
      <w:r w:rsidR="00923445" w:rsidRPr="007B512F">
        <w:rPr>
          <w:rFonts w:ascii="Times New Roman" w:hAnsi="Times New Roman" w:cs="Times New Roman"/>
          <w:sz w:val="24"/>
          <w:szCs w:val="24"/>
        </w:rPr>
        <w:t xml:space="preserve"> provedbe mjere </w:t>
      </w:r>
      <w:r w:rsidR="00D83CA5" w:rsidRPr="007B512F">
        <w:rPr>
          <w:rFonts w:ascii="Times New Roman" w:hAnsi="Times New Roman" w:cs="Times New Roman"/>
          <w:sz w:val="24"/>
          <w:szCs w:val="24"/>
        </w:rPr>
        <w:t xml:space="preserve">gledajući iskorištenje proračunskih sredstava </w:t>
      </w:r>
      <w:r w:rsidR="00657393" w:rsidRPr="007B512F">
        <w:rPr>
          <w:rFonts w:ascii="Times New Roman" w:hAnsi="Times New Roman" w:cs="Times New Roman"/>
          <w:sz w:val="24"/>
          <w:szCs w:val="24"/>
        </w:rPr>
        <w:t xml:space="preserve">u izvještajnom razdoblju je </w:t>
      </w:r>
      <w:r>
        <w:rPr>
          <w:rFonts w:ascii="Times New Roman" w:hAnsi="Times New Roman" w:cs="Times New Roman"/>
          <w:sz w:val="24"/>
          <w:szCs w:val="24"/>
        </w:rPr>
        <w:t xml:space="preserve">i dalje </w:t>
      </w:r>
      <w:r w:rsidR="00D83CA5" w:rsidRPr="007B512F">
        <w:rPr>
          <w:rFonts w:ascii="Times New Roman" w:hAnsi="Times New Roman" w:cs="Times New Roman"/>
          <w:sz w:val="24"/>
          <w:szCs w:val="24"/>
        </w:rPr>
        <w:t xml:space="preserve">u </w:t>
      </w:r>
      <w:r w:rsidR="00923445" w:rsidRPr="007B512F">
        <w:rPr>
          <w:rFonts w:ascii="Times New Roman" w:hAnsi="Times New Roman" w:cs="Times New Roman"/>
          <w:sz w:val="24"/>
          <w:szCs w:val="24"/>
        </w:rPr>
        <w:t xml:space="preserve">dijelu investicija u komunalnu </w:t>
      </w:r>
      <w:r w:rsidR="00DF2140" w:rsidRPr="007B512F">
        <w:rPr>
          <w:rFonts w:ascii="Times New Roman" w:hAnsi="Times New Roman" w:cs="Times New Roman"/>
          <w:sz w:val="24"/>
          <w:szCs w:val="24"/>
        </w:rPr>
        <w:t xml:space="preserve">i ostalu </w:t>
      </w:r>
      <w:r w:rsidR="00923445" w:rsidRPr="007B512F">
        <w:rPr>
          <w:rFonts w:ascii="Times New Roman" w:hAnsi="Times New Roman" w:cs="Times New Roman"/>
          <w:sz w:val="24"/>
          <w:szCs w:val="24"/>
        </w:rPr>
        <w:t>infrastrukturu</w:t>
      </w:r>
      <w:r w:rsidR="00657393" w:rsidRPr="007B512F">
        <w:rPr>
          <w:rFonts w:ascii="Times New Roman" w:hAnsi="Times New Roman" w:cs="Times New Roman"/>
          <w:sz w:val="24"/>
          <w:szCs w:val="24"/>
        </w:rPr>
        <w:t xml:space="preserve">, a </w:t>
      </w:r>
      <w:r w:rsidR="00287474">
        <w:rPr>
          <w:rFonts w:ascii="Times New Roman" w:hAnsi="Times New Roman" w:cs="Times New Roman"/>
          <w:sz w:val="24"/>
          <w:szCs w:val="24"/>
        </w:rPr>
        <w:t>radi vanjskih čimbenika</w:t>
      </w:r>
      <w:r w:rsidR="001D0EDD" w:rsidRPr="007B512F">
        <w:rPr>
          <w:rFonts w:ascii="Times New Roman" w:hAnsi="Times New Roman" w:cs="Times New Roman"/>
          <w:sz w:val="24"/>
          <w:szCs w:val="24"/>
        </w:rPr>
        <w:t xml:space="preserve"> </w:t>
      </w:r>
      <w:r w:rsidR="00657FD2">
        <w:rPr>
          <w:rFonts w:ascii="Times New Roman" w:hAnsi="Times New Roman" w:cs="Times New Roman"/>
          <w:sz w:val="24"/>
          <w:szCs w:val="24"/>
        </w:rPr>
        <w:t xml:space="preserve">na koje se ne može utjecati. </w:t>
      </w:r>
    </w:p>
    <w:p w14:paraId="3E2F5D85" w14:textId="7FF7CF0C" w:rsidR="00657FD2" w:rsidRDefault="00657FD2" w:rsidP="00D81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F86B7E" w14:textId="77777777" w:rsidR="0092336A" w:rsidRPr="00490550" w:rsidRDefault="0092336A" w:rsidP="0092336A">
      <w:pPr>
        <w:spacing w:after="0" w:line="240" w:lineRule="auto"/>
        <w:jc w:val="both"/>
      </w:pPr>
    </w:p>
    <w:p w14:paraId="0632B570" w14:textId="76B4E9F4" w:rsidR="00B95E6A" w:rsidRPr="00490550" w:rsidRDefault="00B95E6A" w:rsidP="0092336A">
      <w:pPr>
        <w:spacing w:after="0" w:line="240" w:lineRule="auto"/>
        <w:jc w:val="both"/>
      </w:pPr>
      <w:r w:rsidRPr="00490550">
        <w:br w:type="page"/>
      </w:r>
    </w:p>
    <w:p w14:paraId="1D903B82" w14:textId="6ABCB33C" w:rsidR="00B95E6A" w:rsidRPr="00490550" w:rsidRDefault="00B166C0" w:rsidP="00B166C0">
      <w:pPr>
        <w:pStyle w:val="Naslov1"/>
        <w:rPr>
          <w:rFonts w:ascii="Times New Roman" w:hAnsi="Times New Roman" w:cs="Times New Roman"/>
        </w:rPr>
      </w:pPr>
      <w:r w:rsidRPr="00490550">
        <w:rPr>
          <w:rFonts w:ascii="Times New Roman" w:hAnsi="Times New Roman" w:cs="Times New Roman"/>
        </w:rPr>
        <w:lastRenderedPageBreak/>
        <w:t>3</w:t>
      </w:r>
      <w:r w:rsidR="003B2DA5" w:rsidRPr="00490550">
        <w:rPr>
          <w:rFonts w:ascii="Times New Roman" w:hAnsi="Times New Roman" w:cs="Times New Roman"/>
        </w:rPr>
        <w:t xml:space="preserve">. </w:t>
      </w:r>
      <w:r w:rsidR="00B95E6A" w:rsidRPr="00490550">
        <w:rPr>
          <w:rFonts w:ascii="Times New Roman" w:hAnsi="Times New Roman" w:cs="Times New Roman"/>
        </w:rPr>
        <w:t>DOPRINOS OSTVARENJU CILJEVA JAVNIH POLITIKA</w:t>
      </w:r>
    </w:p>
    <w:p w14:paraId="0CC6822C" w14:textId="77777777" w:rsidR="00D51A55" w:rsidRPr="00490550" w:rsidRDefault="00D51A55" w:rsidP="00D51A5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CA96FD" w14:textId="63A9B143" w:rsidR="00D70713" w:rsidRPr="00490550" w:rsidRDefault="003D0161" w:rsidP="00062E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Općina</w:t>
      </w:r>
      <w:r w:rsidR="00096395" w:rsidRPr="00490550">
        <w:rPr>
          <w:rFonts w:ascii="Times New Roman" w:hAnsi="Times New Roman" w:cs="Times New Roman"/>
          <w:sz w:val="24"/>
          <w:szCs w:val="24"/>
        </w:rPr>
        <w:t xml:space="preserve"> Matulji provedbom mjera planiranih u Provedbenom Programu doprinosi provedbi </w:t>
      </w:r>
      <w:r w:rsidR="00D70713" w:rsidRPr="00490550">
        <w:rPr>
          <w:rFonts w:ascii="Times New Roman" w:hAnsi="Times New Roman" w:cs="Times New Roman"/>
          <w:sz w:val="24"/>
          <w:szCs w:val="24"/>
        </w:rPr>
        <w:t>posebnih ciljeva definiranih Planom razvoja Primorsko-goranske županije za razdoblje 2022.-2027.</w:t>
      </w:r>
      <w:r w:rsidR="00111DCC" w:rsidRPr="00490550">
        <w:rPr>
          <w:rFonts w:ascii="Times New Roman" w:hAnsi="Times New Roman" w:cs="Times New Roman"/>
          <w:sz w:val="24"/>
          <w:szCs w:val="24"/>
        </w:rPr>
        <w:t>, a time i razvojnim smjerovima i strateškim ciljevima Nacionalne razvojne strategije Republike Hrvatske do</w:t>
      </w:r>
      <w:r w:rsidR="00062E84" w:rsidRPr="00490550">
        <w:rPr>
          <w:rFonts w:ascii="Times New Roman" w:hAnsi="Times New Roman" w:cs="Times New Roman"/>
          <w:sz w:val="24"/>
          <w:szCs w:val="24"/>
        </w:rPr>
        <w:t xml:space="preserve"> </w:t>
      </w:r>
      <w:r w:rsidR="00111DCC" w:rsidRPr="00490550">
        <w:rPr>
          <w:rFonts w:ascii="Times New Roman" w:hAnsi="Times New Roman" w:cs="Times New Roman"/>
          <w:sz w:val="24"/>
          <w:szCs w:val="24"/>
        </w:rPr>
        <w:t xml:space="preserve">2030. godine budući se </w:t>
      </w:r>
      <w:r w:rsidR="00D70713" w:rsidRPr="00490550">
        <w:rPr>
          <w:rFonts w:ascii="Times New Roman" w:hAnsi="Times New Roman" w:cs="Times New Roman"/>
          <w:sz w:val="24"/>
          <w:szCs w:val="24"/>
        </w:rPr>
        <w:t xml:space="preserve">Plan razvoja </w:t>
      </w:r>
      <w:r w:rsidR="00111DCC" w:rsidRPr="00490550">
        <w:rPr>
          <w:rFonts w:ascii="Times New Roman" w:hAnsi="Times New Roman" w:cs="Times New Roman"/>
          <w:sz w:val="24"/>
          <w:szCs w:val="24"/>
        </w:rPr>
        <w:t xml:space="preserve">Primorsko-goranske županije </w:t>
      </w:r>
      <w:r w:rsidR="00D70713" w:rsidRPr="00490550">
        <w:rPr>
          <w:rFonts w:ascii="Times New Roman" w:hAnsi="Times New Roman" w:cs="Times New Roman"/>
          <w:sz w:val="24"/>
          <w:szCs w:val="24"/>
        </w:rPr>
        <w:t>temelji se na</w:t>
      </w:r>
      <w:r w:rsidR="00111DCC" w:rsidRPr="00490550">
        <w:rPr>
          <w:rFonts w:ascii="Times New Roman" w:hAnsi="Times New Roman" w:cs="Times New Roman"/>
          <w:sz w:val="24"/>
          <w:szCs w:val="24"/>
        </w:rPr>
        <w:t xml:space="preserve"> Nacionalnoj razvojnoj strategiji. </w:t>
      </w:r>
      <w:r w:rsidR="00D70713" w:rsidRPr="00490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0F2C19" w14:textId="77777777" w:rsidR="00D70713" w:rsidRPr="00490550" w:rsidRDefault="00D70713" w:rsidP="00D51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170F33" w14:textId="333BDAB1" w:rsidR="00111DCC" w:rsidRPr="00490550" w:rsidRDefault="00111DCC" w:rsidP="00EE38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Tako se provedbom mjera Provedbenog programa Općine Matulji doprinosi provedbi </w:t>
      </w:r>
      <w:r w:rsidR="00EB419E" w:rsidRPr="00490550">
        <w:rPr>
          <w:rFonts w:ascii="Times New Roman" w:hAnsi="Times New Roman" w:cs="Times New Roman"/>
          <w:sz w:val="24"/>
          <w:szCs w:val="24"/>
        </w:rPr>
        <w:t>sljedećih</w:t>
      </w:r>
      <w:r w:rsidRPr="00490550">
        <w:rPr>
          <w:rFonts w:ascii="Times New Roman" w:hAnsi="Times New Roman" w:cs="Times New Roman"/>
          <w:sz w:val="24"/>
          <w:szCs w:val="24"/>
        </w:rPr>
        <w:t xml:space="preserve"> posebnih ciljeva utvrđenih Planom razvoja Primorsko-goranske županije za razdoblje 2022.-2027.:</w:t>
      </w:r>
    </w:p>
    <w:p w14:paraId="52026FD4" w14:textId="7FE8E6B3" w:rsidR="00096395" w:rsidRPr="00490550" w:rsidRDefault="00111DCC" w:rsidP="00D51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4804B" w14:textId="6D79A30D" w:rsidR="00096395" w:rsidRPr="00490550" w:rsidRDefault="00096395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1.2. </w:t>
      </w:r>
      <w:r w:rsidR="00111DCC" w:rsidRPr="00490550">
        <w:rPr>
          <w:rFonts w:ascii="Times New Roman" w:hAnsi="Times New Roman" w:cs="Times New Roman"/>
          <w:sz w:val="24"/>
          <w:szCs w:val="24"/>
        </w:rPr>
        <w:t xml:space="preserve">Gospodarski rast usmjeren na jačanje izvoza podizanjem produktivnosti i digitalnu transformaciju </w:t>
      </w:r>
    </w:p>
    <w:p w14:paraId="77DF9A3C" w14:textId="05768574" w:rsidR="00096395" w:rsidRPr="00490550" w:rsidRDefault="00096395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2.1. </w:t>
      </w:r>
      <w:r w:rsidR="00111DCC" w:rsidRPr="00490550">
        <w:rPr>
          <w:rFonts w:ascii="Times New Roman" w:hAnsi="Times New Roman" w:cs="Times New Roman"/>
          <w:sz w:val="24"/>
          <w:szCs w:val="24"/>
        </w:rPr>
        <w:t>Podrška osnivanju i funkcioniranju obitelji te razvoj sustava brige o djeci i mladima</w:t>
      </w:r>
    </w:p>
    <w:p w14:paraId="6C743524" w14:textId="7152CE5C" w:rsidR="00096395" w:rsidRPr="00490550" w:rsidRDefault="00096395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3.1. </w:t>
      </w:r>
      <w:r w:rsidR="00111DCC" w:rsidRPr="00490550">
        <w:rPr>
          <w:rFonts w:ascii="Times New Roman" w:hAnsi="Times New Roman" w:cs="Times New Roman"/>
          <w:sz w:val="24"/>
          <w:szCs w:val="24"/>
        </w:rPr>
        <w:t>Pametan i održiv pristup upravljanju prostorom i prirodnim resursima</w:t>
      </w:r>
    </w:p>
    <w:p w14:paraId="1CAAF079" w14:textId="3C2B8ABC" w:rsidR="00096395" w:rsidRPr="00490550" w:rsidRDefault="00096395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3.3. </w:t>
      </w:r>
      <w:r w:rsidR="00111DCC" w:rsidRPr="00490550">
        <w:rPr>
          <w:rFonts w:ascii="Times New Roman" w:hAnsi="Times New Roman" w:cs="Times New Roman"/>
          <w:sz w:val="24"/>
          <w:szCs w:val="24"/>
        </w:rPr>
        <w:t>Kvalitetna, dostupna i održiva javna i komunalna infrastruktura na cjelokupnom području županije</w:t>
      </w:r>
    </w:p>
    <w:p w14:paraId="03801447" w14:textId="6764CA1A" w:rsidR="00096395" w:rsidRPr="00490550" w:rsidRDefault="00096395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5.1. </w:t>
      </w:r>
      <w:r w:rsidR="00111DCC" w:rsidRPr="00490550">
        <w:rPr>
          <w:rFonts w:ascii="Times New Roman" w:hAnsi="Times New Roman" w:cs="Times New Roman"/>
          <w:sz w:val="24"/>
          <w:szCs w:val="24"/>
        </w:rPr>
        <w:t>Regija zdravlja i kvalitete života</w:t>
      </w:r>
    </w:p>
    <w:p w14:paraId="1FED7ACD" w14:textId="027D94BB" w:rsidR="00096395" w:rsidRPr="00490550" w:rsidRDefault="00096395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5.2</w:t>
      </w:r>
      <w:r w:rsidR="00111DCC" w:rsidRPr="00490550">
        <w:rPr>
          <w:rFonts w:ascii="Times New Roman" w:hAnsi="Times New Roman" w:cs="Times New Roman"/>
          <w:sz w:val="24"/>
          <w:szCs w:val="24"/>
        </w:rPr>
        <w:t>. Visok socijalni standard i dostojanstveno starenje</w:t>
      </w:r>
    </w:p>
    <w:p w14:paraId="4285F671" w14:textId="7FA6116B" w:rsidR="00096395" w:rsidRPr="00490550" w:rsidRDefault="00111DCC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5.3. Razvoj kulture i sporta te poticanje kreativnosti</w:t>
      </w:r>
    </w:p>
    <w:p w14:paraId="0E732ABE" w14:textId="1C2D9320" w:rsidR="00096395" w:rsidRPr="00490550" w:rsidRDefault="00111DCC" w:rsidP="00EE386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5.5. Razvoj mikroregija aktiviranjem razvojnih potencijala</w:t>
      </w:r>
      <w:r w:rsidR="00B535EE" w:rsidRPr="00490550">
        <w:rPr>
          <w:rFonts w:ascii="Times New Roman" w:hAnsi="Times New Roman" w:cs="Times New Roman"/>
          <w:sz w:val="24"/>
          <w:szCs w:val="24"/>
        </w:rPr>
        <w:t>.</w:t>
      </w:r>
    </w:p>
    <w:p w14:paraId="733B81C1" w14:textId="77777777" w:rsidR="00096395" w:rsidRPr="00490550" w:rsidRDefault="00096395" w:rsidP="00096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893A75" w14:textId="5FCAF12E" w:rsidR="00111DCC" w:rsidRDefault="00EB419E" w:rsidP="00EE38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>U nastavku se navode n</w:t>
      </w:r>
      <w:r w:rsidR="00111DCC" w:rsidRPr="00490550">
        <w:rPr>
          <w:rFonts w:ascii="Times New Roman" w:hAnsi="Times New Roman" w:cs="Times New Roman"/>
          <w:sz w:val="24"/>
          <w:szCs w:val="24"/>
        </w:rPr>
        <w:t xml:space="preserve">ajvažniji rezultati ostvareni provedbom mjera Provedbenog programa </w:t>
      </w:r>
      <w:r w:rsidRPr="00490550">
        <w:rPr>
          <w:rFonts w:ascii="Times New Roman" w:hAnsi="Times New Roman" w:cs="Times New Roman"/>
          <w:sz w:val="24"/>
          <w:szCs w:val="24"/>
        </w:rPr>
        <w:t>Općine Matulji</w:t>
      </w:r>
      <w:r w:rsidR="00111DCC" w:rsidRPr="00490550">
        <w:rPr>
          <w:rFonts w:ascii="Times New Roman" w:hAnsi="Times New Roman" w:cs="Times New Roman"/>
          <w:sz w:val="24"/>
          <w:szCs w:val="24"/>
        </w:rPr>
        <w:t xml:space="preserve"> </w:t>
      </w:r>
      <w:r w:rsidRPr="00490550">
        <w:rPr>
          <w:rFonts w:ascii="Times New Roman" w:hAnsi="Times New Roman" w:cs="Times New Roman"/>
          <w:sz w:val="24"/>
          <w:szCs w:val="24"/>
        </w:rPr>
        <w:t xml:space="preserve">o okviru svakog od posebnih ciljeva  iz Plana razvoja Primorsko-goranske županije </w:t>
      </w:r>
      <w:r w:rsidR="00111DCC" w:rsidRPr="00490550">
        <w:rPr>
          <w:rFonts w:ascii="Times New Roman" w:hAnsi="Times New Roman" w:cs="Times New Roman"/>
          <w:sz w:val="24"/>
          <w:szCs w:val="24"/>
        </w:rPr>
        <w:t>tijekom</w:t>
      </w:r>
      <w:r w:rsidRPr="00490550">
        <w:rPr>
          <w:rFonts w:ascii="Times New Roman" w:hAnsi="Times New Roman" w:cs="Times New Roman"/>
          <w:sz w:val="24"/>
          <w:szCs w:val="24"/>
        </w:rPr>
        <w:t xml:space="preserve"> </w:t>
      </w:r>
      <w:r w:rsidR="00111DCC" w:rsidRPr="00490550">
        <w:rPr>
          <w:rFonts w:ascii="Times New Roman" w:hAnsi="Times New Roman" w:cs="Times New Roman"/>
          <w:sz w:val="24"/>
          <w:szCs w:val="24"/>
        </w:rPr>
        <w:t>izvještajnog razdoblja</w:t>
      </w:r>
      <w:r w:rsidRPr="00490550">
        <w:rPr>
          <w:rFonts w:ascii="Times New Roman" w:hAnsi="Times New Roman" w:cs="Times New Roman"/>
          <w:sz w:val="24"/>
          <w:szCs w:val="24"/>
        </w:rPr>
        <w:t>.</w:t>
      </w:r>
      <w:r w:rsidR="00111DCC" w:rsidRPr="00490550">
        <w:rPr>
          <w:rFonts w:ascii="Times New Roman" w:hAnsi="Times New Roman" w:cs="Times New Roman"/>
          <w:sz w:val="24"/>
          <w:szCs w:val="24"/>
        </w:rPr>
        <w:cr/>
      </w:r>
    </w:p>
    <w:p w14:paraId="6C4EDC70" w14:textId="7777777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 xml:space="preserve">1.2. Gospodarski rast usmjeren na jačanje izvoza podizanjem produktivnosti i digitalnu transformaciju </w:t>
      </w:r>
    </w:p>
    <w:p w14:paraId="5C496C09" w14:textId="1E81A46E" w:rsidR="00D36B3E" w:rsidRDefault="00D36B3E" w:rsidP="003A5A7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3E">
        <w:rPr>
          <w:rFonts w:ascii="Times New Roman" w:hAnsi="Times New Roman" w:cs="Times New Roman"/>
          <w:sz w:val="24"/>
          <w:szCs w:val="24"/>
        </w:rPr>
        <w:t>Proveden je javni poziv za financiranje programa, projekata i manifestacija koje provode udruge i druge organizacije civilnog društva u 202</w:t>
      </w:r>
      <w:r w:rsidR="009A77A7">
        <w:rPr>
          <w:rFonts w:ascii="Times New Roman" w:hAnsi="Times New Roman" w:cs="Times New Roman"/>
          <w:sz w:val="24"/>
          <w:szCs w:val="24"/>
        </w:rPr>
        <w:t>4</w:t>
      </w:r>
      <w:r w:rsidRPr="00D36B3E">
        <w:rPr>
          <w:rFonts w:ascii="Times New Roman" w:hAnsi="Times New Roman" w:cs="Times New Roman"/>
          <w:sz w:val="24"/>
          <w:szCs w:val="24"/>
        </w:rPr>
        <w:t>. godini te su dodijeljena sredstva za provedbu 5 programa iz područja unapređenja i promocije poljoprivrede</w:t>
      </w:r>
    </w:p>
    <w:p w14:paraId="08C58A0D" w14:textId="0286FFDB" w:rsidR="00D36B3E" w:rsidRDefault="00D36B3E" w:rsidP="003A5A7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3E">
        <w:rPr>
          <w:rFonts w:ascii="Times New Roman" w:hAnsi="Times New Roman" w:cs="Times New Roman"/>
          <w:sz w:val="24"/>
          <w:szCs w:val="24"/>
        </w:rPr>
        <w:t>Proveden je Javni poziv za podnošenje zahtjeva za dodjelu potpora poljoprivredi na području Općine Matulji za 202</w:t>
      </w:r>
      <w:r w:rsidR="009A77A7">
        <w:rPr>
          <w:rFonts w:ascii="Times New Roman" w:hAnsi="Times New Roman" w:cs="Times New Roman"/>
          <w:sz w:val="24"/>
          <w:szCs w:val="24"/>
        </w:rPr>
        <w:t>4</w:t>
      </w:r>
      <w:r w:rsidRPr="00D36B3E">
        <w:rPr>
          <w:rFonts w:ascii="Times New Roman" w:hAnsi="Times New Roman" w:cs="Times New Roman"/>
          <w:sz w:val="24"/>
          <w:szCs w:val="24"/>
        </w:rPr>
        <w:t xml:space="preserve">. godinu sukladno Programu potpora poljoprivredi na području Općine Matulji od 2023. do 2025. godine te </w:t>
      </w:r>
      <w:r w:rsidR="009A77A7">
        <w:rPr>
          <w:rFonts w:ascii="Times New Roman" w:hAnsi="Times New Roman" w:cs="Times New Roman"/>
          <w:sz w:val="24"/>
          <w:szCs w:val="24"/>
        </w:rPr>
        <w:t>su</w:t>
      </w:r>
      <w:r w:rsidRPr="00D36B3E">
        <w:rPr>
          <w:rFonts w:ascii="Times New Roman" w:hAnsi="Times New Roman" w:cs="Times New Roman"/>
          <w:sz w:val="24"/>
          <w:szCs w:val="24"/>
        </w:rPr>
        <w:t xml:space="preserve"> dodijeljen</w:t>
      </w:r>
      <w:r w:rsidR="009A77A7">
        <w:rPr>
          <w:rFonts w:ascii="Times New Roman" w:hAnsi="Times New Roman" w:cs="Times New Roman"/>
          <w:sz w:val="24"/>
          <w:szCs w:val="24"/>
        </w:rPr>
        <w:t>e</w:t>
      </w:r>
      <w:r w:rsidRPr="00D36B3E">
        <w:rPr>
          <w:rFonts w:ascii="Times New Roman" w:hAnsi="Times New Roman" w:cs="Times New Roman"/>
          <w:sz w:val="24"/>
          <w:szCs w:val="24"/>
        </w:rPr>
        <w:t xml:space="preserve"> </w:t>
      </w:r>
      <w:r w:rsidR="009A77A7">
        <w:rPr>
          <w:rFonts w:ascii="Times New Roman" w:hAnsi="Times New Roman" w:cs="Times New Roman"/>
          <w:sz w:val="24"/>
          <w:szCs w:val="24"/>
        </w:rPr>
        <w:t>22</w:t>
      </w:r>
      <w:r w:rsidRPr="00D36B3E">
        <w:rPr>
          <w:rFonts w:ascii="Times New Roman" w:hAnsi="Times New Roman" w:cs="Times New Roman"/>
          <w:sz w:val="24"/>
          <w:szCs w:val="24"/>
        </w:rPr>
        <w:t xml:space="preserve"> potpor</w:t>
      </w:r>
      <w:r w:rsidR="009A77A7">
        <w:rPr>
          <w:rFonts w:ascii="Times New Roman" w:hAnsi="Times New Roman" w:cs="Times New Roman"/>
          <w:sz w:val="24"/>
          <w:szCs w:val="24"/>
        </w:rPr>
        <w:t>e</w:t>
      </w:r>
      <w:r w:rsidRPr="00D36B3E">
        <w:rPr>
          <w:rFonts w:ascii="Times New Roman" w:hAnsi="Times New Roman" w:cs="Times New Roman"/>
          <w:sz w:val="24"/>
          <w:szCs w:val="24"/>
        </w:rPr>
        <w:t xml:space="preserve"> poljoprivrednicima</w:t>
      </w:r>
    </w:p>
    <w:p w14:paraId="08DEBD9B" w14:textId="2EBCE974" w:rsidR="00634DA3" w:rsidRDefault="00D36B3E" w:rsidP="003A5A7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3E">
        <w:rPr>
          <w:rFonts w:ascii="Times New Roman" w:hAnsi="Times New Roman" w:cs="Times New Roman"/>
          <w:sz w:val="24"/>
          <w:szCs w:val="24"/>
        </w:rPr>
        <w:t>Proveden je Javni poziv poduzetnicima za dodjelu potpora za poticanje razvoja malog gospodarstva Općine Matulji za 202</w:t>
      </w:r>
      <w:r w:rsidR="009A77A7">
        <w:rPr>
          <w:rFonts w:ascii="Times New Roman" w:hAnsi="Times New Roman" w:cs="Times New Roman"/>
          <w:sz w:val="24"/>
          <w:szCs w:val="24"/>
        </w:rPr>
        <w:t>4</w:t>
      </w:r>
      <w:r w:rsidRPr="00D36B3E">
        <w:rPr>
          <w:rFonts w:ascii="Times New Roman" w:hAnsi="Times New Roman" w:cs="Times New Roman"/>
          <w:sz w:val="24"/>
          <w:szCs w:val="24"/>
        </w:rPr>
        <w:t xml:space="preserve">. godinu sukladno Programu poticanja malog gospodarstva Općine Matulji te su dodijeljene </w:t>
      </w:r>
      <w:r w:rsidR="009A77A7">
        <w:rPr>
          <w:rFonts w:ascii="Times New Roman" w:hAnsi="Times New Roman" w:cs="Times New Roman"/>
          <w:sz w:val="24"/>
          <w:szCs w:val="24"/>
        </w:rPr>
        <w:t>64</w:t>
      </w:r>
      <w:r w:rsidRPr="00D36B3E">
        <w:rPr>
          <w:rFonts w:ascii="Times New Roman" w:hAnsi="Times New Roman" w:cs="Times New Roman"/>
          <w:sz w:val="24"/>
          <w:szCs w:val="24"/>
        </w:rPr>
        <w:t xml:space="preserve"> potpor</w:t>
      </w:r>
      <w:r>
        <w:rPr>
          <w:rFonts w:ascii="Times New Roman" w:hAnsi="Times New Roman" w:cs="Times New Roman"/>
          <w:sz w:val="24"/>
          <w:szCs w:val="24"/>
        </w:rPr>
        <w:t>e</w:t>
      </w:r>
    </w:p>
    <w:p w14:paraId="7233DB45" w14:textId="602EAFF7" w:rsidR="009A77A7" w:rsidRDefault="009A77A7" w:rsidP="003A5A7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Proveden je projekt postave špina na biciklističkim stazama na području Općine Matulji</w:t>
      </w:r>
    </w:p>
    <w:p w14:paraId="63BE247A" w14:textId="77777777" w:rsidR="00AC242F" w:rsidRDefault="00AC242F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6B9E0A" w14:textId="0C924DC5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>2.1. Podrška osnivanju i funkcioniranju obitelji te razvoj sustava brige o djeci i mladima</w:t>
      </w:r>
    </w:p>
    <w:p w14:paraId="37CC9D09" w14:textId="4330FED7" w:rsidR="009D4845" w:rsidRPr="000B58C1" w:rsidRDefault="007F4215" w:rsidP="009D48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>Redovno se provode</w:t>
      </w:r>
      <w:r w:rsidR="009D4845" w:rsidRPr="000B58C1">
        <w:rPr>
          <w:rFonts w:ascii="Times New Roman" w:hAnsi="Times New Roman" w:cs="Times New Roman"/>
          <w:sz w:val="24"/>
          <w:szCs w:val="24"/>
        </w:rPr>
        <w:t xml:space="preserve"> program</w:t>
      </w:r>
      <w:r w:rsidRPr="000B58C1">
        <w:rPr>
          <w:rFonts w:ascii="Times New Roman" w:hAnsi="Times New Roman" w:cs="Times New Roman"/>
          <w:sz w:val="24"/>
          <w:szCs w:val="24"/>
        </w:rPr>
        <w:t>i u Dječjem vrtiću</w:t>
      </w:r>
      <w:r w:rsidR="009D4845" w:rsidRPr="000B58C1">
        <w:rPr>
          <w:rFonts w:ascii="Times New Roman" w:hAnsi="Times New Roman" w:cs="Times New Roman"/>
          <w:sz w:val="24"/>
          <w:szCs w:val="24"/>
        </w:rPr>
        <w:t xml:space="preserve"> Matulji </w:t>
      </w:r>
    </w:p>
    <w:p w14:paraId="3FB1373D" w14:textId="77DF4DAA" w:rsidR="009D4845" w:rsidRPr="000B58C1" w:rsidRDefault="009D4845" w:rsidP="009D48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Sufinanciran je smještaj za </w:t>
      </w:r>
      <w:r w:rsidR="009A77A7">
        <w:rPr>
          <w:rFonts w:ascii="Times New Roman" w:hAnsi="Times New Roman" w:cs="Times New Roman"/>
          <w:sz w:val="24"/>
          <w:szCs w:val="24"/>
        </w:rPr>
        <w:t>23</w:t>
      </w:r>
      <w:r w:rsidRPr="000B58C1">
        <w:rPr>
          <w:rFonts w:ascii="Times New Roman" w:hAnsi="Times New Roman" w:cs="Times New Roman"/>
          <w:sz w:val="24"/>
          <w:szCs w:val="24"/>
        </w:rPr>
        <w:t xml:space="preserve"> d</w:t>
      </w:r>
      <w:r w:rsidR="00B4771F" w:rsidRPr="000B58C1">
        <w:rPr>
          <w:rFonts w:ascii="Times New Roman" w:hAnsi="Times New Roman" w:cs="Times New Roman"/>
          <w:sz w:val="24"/>
          <w:szCs w:val="24"/>
        </w:rPr>
        <w:t>jece</w:t>
      </w:r>
      <w:r w:rsidRPr="000B58C1">
        <w:rPr>
          <w:rFonts w:ascii="Times New Roman" w:hAnsi="Times New Roman" w:cs="Times New Roman"/>
          <w:sz w:val="24"/>
          <w:szCs w:val="24"/>
        </w:rPr>
        <w:t xml:space="preserve"> u ustanovama predškolskog odgoja drugih osnivača te obrtima za čuvanje djece </w:t>
      </w:r>
      <w:r w:rsidR="009A77A7" w:rsidRPr="009A77A7">
        <w:rPr>
          <w:rFonts w:ascii="Times New Roman" w:hAnsi="Times New Roman" w:cs="Times New Roman"/>
          <w:sz w:val="24"/>
          <w:szCs w:val="24"/>
        </w:rPr>
        <w:t>za pedagošku godinu 2023</w:t>
      </w:r>
      <w:r w:rsidR="00AC242F">
        <w:rPr>
          <w:rFonts w:ascii="Times New Roman" w:hAnsi="Times New Roman" w:cs="Times New Roman"/>
          <w:sz w:val="24"/>
          <w:szCs w:val="24"/>
        </w:rPr>
        <w:t>.</w:t>
      </w:r>
      <w:r w:rsidR="009A77A7" w:rsidRPr="009A77A7">
        <w:rPr>
          <w:rFonts w:ascii="Times New Roman" w:hAnsi="Times New Roman" w:cs="Times New Roman"/>
          <w:sz w:val="24"/>
          <w:szCs w:val="24"/>
        </w:rPr>
        <w:t>/2024</w:t>
      </w:r>
      <w:r w:rsidR="00AC242F">
        <w:rPr>
          <w:rFonts w:ascii="Times New Roman" w:hAnsi="Times New Roman" w:cs="Times New Roman"/>
          <w:sz w:val="24"/>
          <w:szCs w:val="24"/>
        </w:rPr>
        <w:t>.</w:t>
      </w:r>
      <w:r w:rsidR="009A77A7" w:rsidRPr="009A77A7">
        <w:rPr>
          <w:rFonts w:ascii="Times New Roman" w:hAnsi="Times New Roman" w:cs="Times New Roman"/>
          <w:sz w:val="24"/>
          <w:szCs w:val="24"/>
        </w:rPr>
        <w:t xml:space="preserve"> i 2024</w:t>
      </w:r>
      <w:r w:rsidR="00AC242F">
        <w:rPr>
          <w:rFonts w:ascii="Times New Roman" w:hAnsi="Times New Roman" w:cs="Times New Roman"/>
          <w:sz w:val="24"/>
          <w:szCs w:val="24"/>
        </w:rPr>
        <w:t>.</w:t>
      </w:r>
      <w:r w:rsidR="009A77A7" w:rsidRPr="009A77A7">
        <w:rPr>
          <w:rFonts w:ascii="Times New Roman" w:hAnsi="Times New Roman" w:cs="Times New Roman"/>
          <w:sz w:val="24"/>
          <w:szCs w:val="24"/>
        </w:rPr>
        <w:t>/2025</w:t>
      </w:r>
      <w:r w:rsidR="00AC242F">
        <w:rPr>
          <w:rFonts w:ascii="Times New Roman" w:hAnsi="Times New Roman" w:cs="Times New Roman"/>
          <w:sz w:val="24"/>
          <w:szCs w:val="24"/>
        </w:rPr>
        <w:t>.</w:t>
      </w:r>
    </w:p>
    <w:p w14:paraId="352E0DC2" w14:textId="42D2A3D1" w:rsidR="009A77A7" w:rsidRDefault="009A77A7" w:rsidP="009D48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Izrađena je projektna dokumentacije za izgradnju područnog dječjeg vrtića u Rukavcu te ishođena građevinska dozvola</w:t>
      </w:r>
    </w:p>
    <w:p w14:paraId="1A86AB6A" w14:textId="37B851FC" w:rsidR="007F4215" w:rsidRPr="000B58C1" w:rsidRDefault="007F4215" w:rsidP="009D48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Redovno </w:t>
      </w:r>
      <w:r w:rsidR="006762EC" w:rsidRPr="000B58C1">
        <w:rPr>
          <w:rFonts w:ascii="Times New Roman" w:hAnsi="Times New Roman" w:cs="Times New Roman"/>
          <w:sz w:val="24"/>
          <w:szCs w:val="24"/>
        </w:rPr>
        <w:t xml:space="preserve">se </w:t>
      </w:r>
      <w:r w:rsidRPr="000B58C1">
        <w:rPr>
          <w:rFonts w:ascii="Times New Roman" w:hAnsi="Times New Roman" w:cs="Times New Roman"/>
          <w:sz w:val="24"/>
          <w:szCs w:val="24"/>
        </w:rPr>
        <w:t>sufinancira</w:t>
      </w:r>
      <w:r w:rsidR="00E126D8" w:rsidRPr="000B58C1">
        <w:rPr>
          <w:rFonts w:ascii="Times New Roman" w:hAnsi="Times New Roman" w:cs="Times New Roman"/>
          <w:sz w:val="24"/>
          <w:szCs w:val="24"/>
        </w:rPr>
        <w:t>ju</w:t>
      </w:r>
      <w:r w:rsidRPr="000B58C1">
        <w:rPr>
          <w:rFonts w:ascii="Times New Roman" w:hAnsi="Times New Roman" w:cs="Times New Roman"/>
          <w:sz w:val="24"/>
          <w:szCs w:val="24"/>
        </w:rPr>
        <w:t xml:space="preserve"> dodatni program</w:t>
      </w:r>
      <w:r w:rsidR="006762EC" w:rsidRPr="000B58C1">
        <w:rPr>
          <w:rFonts w:ascii="Times New Roman" w:hAnsi="Times New Roman" w:cs="Times New Roman"/>
          <w:sz w:val="24"/>
          <w:szCs w:val="24"/>
        </w:rPr>
        <w:t>i</w:t>
      </w:r>
      <w:r w:rsidRPr="000B58C1">
        <w:rPr>
          <w:rFonts w:ascii="Times New Roman" w:hAnsi="Times New Roman" w:cs="Times New Roman"/>
          <w:sz w:val="24"/>
          <w:szCs w:val="24"/>
        </w:rPr>
        <w:t xml:space="preserve"> osnovnih škola</w:t>
      </w:r>
    </w:p>
    <w:p w14:paraId="3790BFCC" w14:textId="54E00972" w:rsidR="00E126D8" w:rsidRPr="000B58C1" w:rsidRDefault="009D4845" w:rsidP="009D48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>Redovn</w:t>
      </w:r>
      <w:r w:rsidR="006762EC" w:rsidRPr="000B58C1">
        <w:rPr>
          <w:rFonts w:ascii="Times New Roman" w:hAnsi="Times New Roman" w:cs="Times New Roman"/>
          <w:sz w:val="24"/>
          <w:szCs w:val="24"/>
        </w:rPr>
        <w:t>o s</w:t>
      </w:r>
      <w:r w:rsidR="00E126D8" w:rsidRPr="000B58C1">
        <w:rPr>
          <w:rFonts w:ascii="Times New Roman" w:hAnsi="Times New Roman" w:cs="Times New Roman"/>
          <w:sz w:val="24"/>
          <w:szCs w:val="24"/>
        </w:rPr>
        <w:t>u</w:t>
      </w:r>
      <w:r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6762EC" w:rsidRPr="000B58C1">
        <w:rPr>
          <w:rFonts w:ascii="Times New Roman" w:hAnsi="Times New Roman" w:cs="Times New Roman"/>
          <w:sz w:val="24"/>
          <w:szCs w:val="24"/>
        </w:rPr>
        <w:t>vrš</w:t>
      </w:r>
      <w:r w:rsidR="00E126D8" w:rsidRPr="000B58C1">
        <w:rPr>
          <w:rFonts w:ascii="Times New Roman" w:hAnsi="Times New Roman" w:cs="Times New Roman"/>
          <w:sz w:val="24"/>
          <w:szCs w:val="24"/>
        </w:rPr>
        <w:t>ene</w:t>
      </w:r>
      <w:r w:rsidR="006762EC"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Pr="000B58C1">
        <w:rPr>
          <w:rFonts w:ascii="Times New Roman" w:hAnsi="Times New Roman" w:cs="Times New Roman"/>
          <w:sz w:val="24"/>
          <w:szCs w:val="24"/>
        </w:rPr>
        <w:t>mjeseč</w:t>
      </w:r>
      <w:r w:rsidR="006762EC" w:rsidRPr="000B58C1">
        <w:rPr>
          <w:rFonts w:ascii="Times New Roman" w:hAnsi="Times New Roman" w:cs="Times New Roman"/>
          <w:sz w:val="24"/>
          <w:szCs w:val="24"/>
        </w:rPr>
        <w:t>ne</w:t>
      </w:r>
      <w:r w:rsidRPr="000B58C1">
        <w:rPr>
          <w:rFonts w:ascii="Times New Roman" w:hAnsi="Times New Roman" w:cs="Times New Roman"/>
          <w:sz w:val="24"/>
          <w:szCs w:val="24"/>
        </w:rPr>
        <w:t xml:space="preserve"> isplat</w:t>
      </w:r>
      <w:r w:rsidR="006762EC" w:rsidRPr="000B58C1">
        <w:rPr>
          <w:rFonts w:ascii="Times New Roman" w:hAnsi="Times New Roman" w:cs="Times New Roman"/>
          <w:sz w:val="24"/>
          <w:szCs w:val="24"/>
        </w:rPr>
        <w:t>e</w:t>
      </w:r>
      <w:r w:rsidRPr="000B58C1">
        <w:rPr>
          <w:rFonts w:ascii="Times New Roman" w:hAnsi="Times New Roman" w:cs="Times New Roman"/>
          <w:sz w:val="24"/>
          <w:szCs w:val="24"/>
        </w:rPr>
        <w:t xml:space="preserve"> stipendija </w:t>
      </w:r>
      <w:r w:rsidR="00B4771F" w:rsidRPr="000B58C1">
        <w:rPr>
          <w:rFonts w:ascii="Times New Roman" w:hAnsi="Times New Roman" w:cs="Times New Roman"/>
          <w:sz w:val="24"/>
          <w:szCs w:val="24"/>
        </w:rPr>
        <w:t>(</w:t>
      </w:r>
      <w:r w:rsidR="00E126D8" w:rsidRPr="000B58C1">
        <w:rPr>
          <w:rFonts w:ascii="Times New Roman" w:hAnsi="Times New Roman" w:cs="Times New Roman"/>
          <w:sz w:val="24"/>
          <w:szCs w:val="24"/>
        </w:rPr>
        <w:t>12</w:t>
      </w:r>
      <w:r w:rsidR="009A77A7">
        <w:rPr>
          <w:rFonts w:ascii="Times New Roman" w:hAnsi="Times New Roman" w:cs="Times New Roman"/>
          <w:sz w:val="24"/>
          <w:szCs w:val="24"/>
        </w:rPr>
        <w:t>6</w:t>
      </w:r>
      <w:r w:rsidR="00E126D8" w:rsidRPr="000B58C1">
        <w:rPr>
          <w:rFonts w:ascii="Times New Roman" w:hAnsi="Times New Roman" w:cs="Times New Roman"/>
          <w:sz w:val="24"/>
          <w:szCs w:val="24"/>
        </w:rPr>
        <w:t xml:space="preserve"> korisnika</w:t>
      </w:r>
      <w:r w:rsidR="009A77A7">
        <w:rPr>
          <w:rFonts w:ascii="Times New Roman" w:hAnsi="Times New Roman" w:cs="Times New Roman"/>
          <w:sz w:val="24"/>
          <w:szCs w:val="24"/>
        </w:rPr>
        <w:t>)</w:t>
      </w:r>
      <w:r w:rsidR="00B4771F" w:rsidRPr="000B58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247EF" w14:textId="24F9B057" w:rsidR="00780146" w:rsidRPr="000B58C1" w:rsidRDefault="00E126D8" w:rsidP="004E593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lastRenderedPageBreak/>
        <w:t>Redovno se</w:t>
      </w:r>
      <w:r w:rsidR="009D4845" w:rsidRPr="000B58C1">
        <w:rPr>
          <w:rFonts w:ascii="Times New Roman" w:hAnsi="Times New Roman" w:cs="Times New Roman"/>
          <w:sz w:val="24"/>
          <w:szCs w:val="24"/>
        </w:rPr>
        <w:t xml:space="preserve"> podmir</w:t>
      </w:r>
      <w:r w:rsidR="006762EC" w:rsidRPr="000B58C1">
        <w:rPr>
          <w:rFonts w:ascii="Times New Roman" w:hAnsi="Times New Roman" w:cs="Times New Roman"/>
          <w:sz w:val="24"/>
          <w:szCs w:val="24"/>
        </w:rPr>
        <w:t>uju</w:t>
      </w:r>
      <w:r w:rsidR="009D4845" w:rsidRPr="000B58C1">
        <w:rPr>
          <w:rFonts w:ascii="Times New Roman" w:hAnsi="Times New Roman" w:cs="Times New Roman"/>
          <w:sz w:val="24"/>
          <w:szCs w:val="24"/>
        </w:rPr>
        <w:t xml:space="preserve"> troškov</w:t>
      </w:r>
      <w:r w:rsidR="006762EC" w:rsidRPr="000B58C1">
        <w:rPr>
          <w:rFonts w:ascii="Times New Roman" w:hAnsi="Times New Roman" w:cs="Times New Roman"/>
          <w:sz w:val="24"/>
          <w:szCs w:val="24"/>
        </w:rPr>
        <w:t>i</w:t>
      </w:r>
      <w:r w:rsidR="009D4845" w:rsidRPr="000B58C1">
        <w:rPr>
          <w:rFonts w:ascii="Times New Roman" w:hAnsi="Times New Roman" w:cs="Times New Roman"/>
          <w:sz w:val="24"/>
          <w:szCs w:val="24"/>
        </w:rPr>
        <w:t xml:space="preserve"> za sufinanciranje prijevoza učenicima i studentima</w:t>
      </w:r>
      <w:r w:rsidR="00B4771F" w:rsidRPr="000B58C1">
        <w:rPr>
          <w:rFonts w:ascii="Times New Roman" w:hAnsi="Times New Roman" w:cs="Times New Roman"/>
          <w:sz w:val="24"/>
          <w:szCs w:val="24"/>
        </w:rPr>
        <w:t xml:space="preserve"> (</w:t>
      </w:r>
      <w:r w:rsidR="009A77A7">
        <w:rPr>
          <w:rFonts w:ascii="Times New Roman" w:hAnsi="Times New Roman" w:cs="Times New Roman"/>
          <w:sz w:val="24"/>
          <w:szCs w:val="24"/>
        </w:rPr>
        <w:t>623</w:t>
      </w:r>
      <w:r w:rsidR="00B4771F" w:rsidRPr="000B58C1">
        <w:rPr>
          <w:rFonts w:ascii="Times New Roman" w:hAnsi="Times New Roman" w:cs="Times New Roman"/>
          <w:sz w:val="24"/>
          <w:szCs w:val="24"/>
        </w:rPr>
        <w:t xml:space="preserve"> korisnik</w:t>
      </w:r>
      <w:r w:rsidR="00D36B3E">
        <w:rPr>
          <w:rFonts w:ascii="Times New Roman" w:hAnsi="Times New Roman" w:cs="Times New Roman"/>
          <w:sz w:val="24"/>
          <w:szCs w:val="24"/>
        </w:rPr>
        <w:t>a</w:t>
      </w:r>
      <w:r w:rsidR="009A77A7">
        <w:rPr>
          <w:rFonts w:ascii="Times New Roman" w:hAnsi="Times New Roman" w:cs="Times New Roman"/>
          <w:sz w:val="24"/>
          <w:szCs w:val="24"/>
        </w:rPr>
        <w:t>)</w:t>
      </w:r>
    </w:p>
    <w:p w14:paraId="136E09FD" w14:textId="46976957" w:rsidR="009D4845" w:rsidRPr="000B58C1" w:rsidRDefault="009D4845" w:rsidP="009D484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>Organiziran</w:t>
      </w:r>
      <w:r w:rsidR="007F4215" w:rsidRPr="000B58C1">
        <w:rPr>
          <w:rFonts w:ascii="Times New Roman" w:hAnsi="Times New Roman" w:cs="Times New Roman"/>
          <w:sz w:val="24"/>
          <w:szCs w:val="24"/>
        </w:rPr>
        <w:t>e su</w:t>
      </w:r>
      <w:r w:rsidRPr="000B58C1">
        <w:rPr>
          <w:rFonts w:ascii="Times New Roman" w:hAnsi="Times New Roman" w:cs="Times New Roman"/>
          <w:sz w:val="24"/>
          <w:szCs w:val="24"/>
        </w:rPr>
        <w:t xml:space="preserve"> pripreme za maturu</w:t>
      </w:r>
      <w:r w:rsidR="007F4215" w:rsidRPr="000B58C1">
        <w:rPr>
          <w:rFonts w:ascii="Times New Roman" w:hAnsi="Times New Roman" w:cs="Times New Roman"/>
          <w:sz w:val="24"/>
          <w:szCs w:val="24"/>
        </w:rPr>
        <w:t xml:space="preserve"> koje je koristilo </w:t>
      </w:r>
      <w:r w:rsidR="00D36B3E">
        <w:rPr>
          <w:rFonts w:ascii="Times New Roman" w:hAnsi="Times New Roman" w:cs="Times New Roman"/>
          <w:sz w:val="24"/>
          <w:szCs w:val="24"/>
        </w:rPr>
        <w:t>2</w:t>
      </w:r>
      <w:r w:rsidR="009A77A7">
        <w:rPr>
          <w:rFonts w:ascii="Times New Roman" w:hAnsi="Times New Roman" w:cs="Times New Roman"/>
          <w:sz w:val="24"/>
          <w:szCs w:val="24"/>
        </w:rPr>
        <w:t>5</w:t>
      </w:r>
      <w:r w:rsidR="007F4215" w:rsidRPr="000B58C1">
        <w:rPr>
          <w:rFonts w:ascii="Times New Roman" w:hAnsi="Times New Roman" w:cs="Times New Roman"/>
          <w:sz w:val="24"/>
          <w:szCs w:val="24"/>
        </w:rPr>
        <w:t xml:space="preserve"> učenika</w:t>
      </w:r>
      <w:r w:rsidRPr="000B58C1">
        <w:rPr>
          <w:rFonts w:ascii="Times New Roman" w:hAnsi="Times New Roman" w:cs="Times New Roman"/>
          <w:sz w:val="24"/>
          <w:szCs w:val="24"/>
        </w:rPr>
        <w:t xml:space="preserve"> i </w:t>
      </w:r>
      <w:r w:rsidR="007F4215" w:rsidRPr="000B58C1">
        <w:rPr>
          <w:rFonts w:ascii="Times New Roman" w:hAnsi="Times New Roman" w:cs="Times New Roman"/>
          <w:sz w:val="24"/>
          <w:szCs w:val="24"/>
        </w:rPr>
        <w:t>pomoć</w:t>
      </w:r>
      <w:r w:rsidRPr="000B58C1">
        <w:rPr>
          <w:rFonts w:ascii="Times New Roman" w:hAnsi="Times New Roman" w:cs="Times New Roman"/>
          <w:sz w:val="24"/>
          <w:szCs w:val="24"/>
        </w:rPr>
        <w:t xml:space="preserve"> u učenj</w:t>
      </w:r>
      <w:r w:rsidR="00221BBC">
        <w:rPr>
          <w:rFonts w:ascii="Times New Roman" w:hAnsi="Times New Roman" w:cs="Times New Roman"/>
          <w:sz w:val="24"/>
          <w:szCs w:val="24"/>
        </w:rPr>
        <w:t>u</w:t>
      </w:r>
      <w:r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7F4215" w:rsidRPr="000B58C1">
        <w:rPr>
          <w:rFonts w:ascii="Times New Roman" w:hAnsi="Times New Roman" w:cs="Times New Roman"/>
          <w:sz w:val="24"/>
          <w:szCs w:val="24"/>
        </w:rPr>
        <w:t xml:space="preserve">koje je koristilo </w:t>
      </w:r>
      <w:r w:rsidR="009A77A7">
        <w:rPr>
          <w:rFonts w:ascii="Times New Roman" w:hAnsi="Times New Roman" w:cs="Times New Roman"/>
          <w:sz w:val="24"/>
          <w:szCs w:val="24"/>
        </w:rPr>
        <w:t>88</w:t>
      </w:r>
      <w:r w:rsidR="00B4771F" w:rsidRPr="000B58C1">
        <w:rPr>
          <w:rFonts w:ascii="Times New Roman" w:hAnsi="Times New Roman" w:cs="Times New Roman"/>
          <w:sz w:val="24"/>
          <w:szCs w:val="24"/>
        </w:rPr>
        <w:t xml:space="preserve"> učenika</w:t>
      </w:r>
    </w:p>
    <w:p w14:paraId="7F10C417" w14:textId="77777777" w:rsidR="00E126D8" w:rsidRDefault="00E126D8" w:rsidP="00E126D8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9AA818" w14:textId="7777777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>3.1. Pametan i održiv pristup upravljanju prostorom i prirodnim resursima</w:t>
      </w:r>
    </w:p>
    <w:p w14:paraId="0FD30CB1" w14:textId="77777777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Izrađen je prijedlog UPU 7 poslovne zone Mali Brgud (K7) za javnu raspravu i nastavljena je izrada Izmjena i dopuna UPU 14 poslovne zone Miklavija (K8)</w:t>
      </w:r>
    </w:p>
    <w:p w14:paraId="2178B04F" w14:textId="77777777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Uređeno je prostor zgrade Doma Permani te Doma Rukavac (za potrebe praone Dječjeg vrtića Matulji)</w:t>
      </w:r>
    </w:p>
    <w:p w14:paraId="5B0134B5" w14:textId="77777777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Izvršena je ugradnju fotonaponske sunčane elektrane na zgradi Zdravstvenog centra Matulji</w:t>
      </w:r>
    </w:p>
    <w:p w14:paraId="5C741890" w14:textId="77777777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Započelo je uređenje dječjeg igrališta u sklopu DV Matulji (područni objekt Rupa-Lipa)</w:t>
      </w:r>
    </w:p>
    <w:p w14:paraId="2A17ED2B" w14:textId="4CB35ECE" w:rsidR="00D36B3E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Izrađen je dio projektne dokumentacije za rekonstrukciju i uređenje Doma Hangar</w:t>
      </w:r>
    </w:p>
    <w:p w14:paraId="09168D6B" w14:textId="331AF632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Proveden je Javni natječaj za dodjelu sredstava za financiranje programa, projekata i manifestacija koje provode udruge i druge organizacije civilnog društva u 2024. godini te su dodijelj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A77A7">
        <w:rPr>
          <w:rFonts w:ascii="Times New Roman" w:hAnsi="Times New Roman" w:cs="Times New Roman"/>
          <w:sz w:val="24"/>
          <w:szCs w:val="24"/>
        </w:rPr>
        <w:t>na sredstva za provedbu 1 projekta u području zaštite okoliša</w:t>
      </w:r>
    </w:p>
    <w:p w14:paraId="4CCACBF1" w14:textId="77777777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Proveden je Javni poziv za provedbu programa preuzimanja i zbrinjavanja azbestnog krovnog pokrova sa zgrada te je 29 korisnika ostvarilo pravo na sufinanciranje preuzimanja i zbrinjavanja azbestnog krovnog pokrova</w:t>
      </w:r>
    </w:p>
    <w:p w14:paraId="0F5FD4F3" w14:textId="2CA73088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9A77A7">
        <w:rPr>
          <w:rFonts w:ascii="Times New Roman" w:hAnsi="Times New Roman" w:cs="Times New Roman"/>
          <w:sz w:val="24"/>
          <w:szCs w:val="24"/>
        </w:rPr>
        <w:t xml:space="preserve">avljen je električni komposter za biooptad za Dječji vrtić Matulji što je sufinancirano iz Fonda za energetsku </w:t>
      </w:r>
      <w:r w:rsidR="00EF7D72" w:rsidRPr="009A77A7">
        <w:rPr>
          <w:rFonts w:ascii="Times New Roman" w:hAnsi="Times New Roman" w:cs="Times New Roman"/>
          <w:sz w:val="24"/>
          <w:szCs w:val="24"/>
        </w:rPr>
        <w:t>učinkovitost</w:t>
      </w:r>
      <w:r w:rsidRPr="009A77A7">
        <w:rPr>
          <w:rFonts w:ascii="Times New Roman" w:hAnsi="Times New Roman" w:cs="Times New Roman"/>
          <w:sz w:val="24"/>
          <w:szCs w:val="24"/>
        </w:rPr>
        <w:t xml:space="preserve"> i zaštitu okoliša</w:t>
      </w:r>
    </w:p>
    <w:p w14:paraId="1BA9EED8" w14:textId="77777777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Dana je pomoć komunalnom društvu na nabavu spremnika za odvojeno prikupljanje otpada</w:t>
      </w:r>
    </w:p>
    <w:p w14:paraId="4B25E80B" w14:textId="613C88FE" w:rsidR="009A77A7" w:rsidRDefault="009A77A7" w:rsidP="00D36B3E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Provedene su aktivnosti prema donesenom Programu zaštite divljači na području Općine Matulji</w:t>
      </w:r>
    </w:p>
    <w:p w14:paraId="14B28C2B" w14:textId="4856B1A5" w:rsidR="00C4287A" w:rsidRPr="000B58C1" w:rsidRDefault="00C4287A" w:rsidP="003C5FBD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>Redovno se sufinancira rad Javne vatrogasne postrojbe Opatija te Dobrovoljnog vatrogasnog društva Kras-Šapjane</w:t>
      </w:r>
    </w:p>
    <w:p w14:paraId="5D2B1F86" w14:textId="77777777" w:rsidR="00DA5604" w:rsidRPr="00490550" w:rsidRDefault="00DA5604" w:rsidP="00EB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F7EFB" w14:textId="7777777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>3.3. Kvalitetna, dostupna i održiva javna i komunalna infrastruktura na cjelokupnom području županije</w:t>
      </w:r>
    </w:p>
    <w:p w14:paraId="786EA4F4" w14:textId="617D706F" w:rsidR="00D36B3E" w:rsidRDefault="00D36B3E" w:rsidP="00D36B3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3E">
        <w:rPr>
          <w:rFonts w:ascii="Times New Roman" w:hAnsi="Times New Roman" w:cs="Times New Roman"/>
          <w:sz w:val="24"/>
          <w:szCs w:val="24"/>
        </w:rPr>
        <w:t>Sufinancirana je izgradnja vodoopskrbe i sanitarne odvodnje na cesti GM5-odvojak 5</w:t>
      </w:r>
      <w:r w:rsidR="009A77A7">
        <w:rPr>
          <w:rFonts w:ascii="Times New Roman" w:hAnsi="Times New Roman" w:cs="Times New Roman"/>
          <w:sz w:val="24"/>
          <w:szCs w:val="24"/>
        </w:rPr>
        <w:t xml:space="preserve"> </w:t>
      </w:r>
      <w:r w:rsidR="009A77A7" w:rsidRPr="009A77A7">
        <w:rPr>
          <w:rFonts w:ascii="Times New Roman" w:hAnsi="Times New Roman" w:cs="Times New Roman"/>
          <w:sz w:val="24"/>
          <w:szCs w:val="24"/>
        </w:rPr>
        <w:t>te vodoopskrba na cesti GM-1 - 3.etapa</w:t>
      </w:r>
    </w:p>
    <w:p w14:paraId="7BE3C6AD" w14:textId="3E2BE92D" w:rsidR="00D36B3E" w:rsidRPr="00D36B3E" w:rsidRDefault="00D36B3E" w:rsidP="00D36B3E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6B3E">
        <w:rPr>
          <w:rFonts w:ascii="Times New Roman" w:hAnsi="Times New Roman" w:cs="Times New Roman"/>
          <w:sz w:val="24"/>
          <w:szCs w:val="24"/>
        </w:rPr>
        <w:t>Sufinancirana su 3 priključka na kanalizacijsku mrežu</w:t>
      </w:r>
    </w:p>
    <w:p w14:paraId="2B0075F9" w14:textId="77777777" w:rsidR="009A77A7" w:rsidRDefault="009A77A7" w:rsidP="00DA560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U tijeku su investicije na izgradnji/rekonstrukciji nerazvrstanih cesta - ceste GM-4, ceste GM-1, ceste B-C-C1 (RZ-2), sabirne ulice unutar poslovne zone Mučići II, ceste Biškupi unutar UPU-8, ceste GM-5, dionice ceste "gornje igralište", spojene ceste Branka Laginje - Jankovićava cesta, ceste 43. istarske divizije, stambene ulice u zoni K4 unutar UPU Matulji te ceste 43. istarske divizije - Milana Frlana</w:t>
      </w:r>
    </w:p>
    <w:p w14:paraId="2B318376" w14:textId="5A95418C" w:rsidR="009A77A7" w:rsidRDefault="009A77A7" w:rsidP="00DA560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77A7">
        <w:rPr>
          <w:rFonts w:ascii="Times New Roman" w:hAnsi="Times New Roman" w:cs="Times New Roman"/>
          <w:sz w:val="24"/>
          <w:szCs w:val="24"/>
        </w:rPr>
        <w:t>U tijeku su radovi na izgradnji igrališta Principi</w:t>
      </w:r>
    </w:p>
    <w:p w14:paraId="394EC783" w14:textId="130B58A7" w:rsidR="00F07227" w:rsidRPr="000B58C1" w:rsidRDefault="003C5FBD" w:rsidP="00F0722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Redovno </w:t>
      </w:r>
      <w:r w:rsidR="004A54F3" w:rsidRPr="000B58C1">
        <w:rPr>
          <w:rFonts w:ascii="Times New Roman" w:hAnsi="Times New Roman" w:cs="Times New Roman"/>
          <w:sz w:val="24"/>
          <w:szCs w:val="24"/>
        </w:rPr>
        <w:t>je</w:t>
      </w:r>
      <w:r w:rsidRPr="000B58C1">
        <w:rPr>
          <w:rFonts w:ascii="Times New Roman" w:hAnsi="Times New Roman" w:cs="Times New Roman"/>
          <w:sz w:val="24"/>
          <w:szCs w:val="24"/>
        </w:rPr>
        <w:t xml:space="preserve"> održava</w:t>
      </w:r>
      <w:r w:rsidR="004A54F3" w:rsidRPr="000B58C1">
        <w:rPr>
          <w:rFonts w:ascii="Times New Roman" w:hAnsi="Times New Roman" w:cs="Times New Roman"/>
          <w:sz w:val="24"/>
          <w:szCs w:val="24"/>
        </w:rPr>
        <w:t>na</w:t>
      </w:r>
      <w:r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EF7C60" w:rsidRPr="000B58C1">
        <w:rPr>
          <w:rFonts w:ascii="Times New Roman" w:hAnsi="Times New Roman" w:cs="Times New Roman"/>
          <w:sz w:val="24"/>
          <w:szCs w:val="24"/>
        </w:rPr>
        <w:t xml:space="preserve">postojeća </w:t>
      </w:r>
      <w:r w:rsidRPr="000B58C1">
        <w:rPr>
          <w:rFonts w:ascii="Times New Roman" w:hAnsi="Times New Roman" w:cs="Times New Roman"/>
          <w:sz w:val="24"/>
          <w:szCs w:val="24"/>
        </w:rPr>
        <w:t>komunalna infrastruktura (</w:t>
      </w:r>
      <w:r w:rsidR="00F07227" w:rsidRPr="000B58C1">
        <w:rPr>
          <w:rFonts w:ascii="Times New Roman" w:hAnsi="Times New Roman" w:cs="Times New Roman"/>
          <w:sz w:val="24"/>
          <w:szCs w:val="24"/>
        </w:rPr>
        <w:t xml:space="preserve">nerazvrstane ceste, </w:t>
      </w:r>
      <w:r w:rsidRPr="000B58C1">
        <w:rPr>
          <w:rFonts w:ascii="Times New Roman" w:hAnsi="Times New Roman" w:cs="Times New Roman"/>
          <w:sz w:val="24"/>
          <w:szCs w:val="24"/>
        </w:rPr>
        <w:t>javn</w:t>
      </w:r>
      <w:r w:rsidR="00F07227" w:rsidRPr="000B58C1">
        <w:rPr>
          <w:rFonts w:ascii="Times New Roman" w:hAnsi="Times New Roman" w:cs="Times New Roman"/>
          <w:sz w:val="24"/>
          <w:szCs w:val="24"/>
        </w:rPr>
        <w:t>o</w:t>
      </w:r>
      <w:r w:rsidRPr="000B58C1">
        <w:rPr>
          <w:rFonts w:ascii="Times New Roman" w:hAnsi="Times New Roman" w:cs="Times New Roman"/>
          <w:sz w:val="24"/>
          <w:szCs w:val="24"/>
        </w:rPr>
        <w:t>prometne površine,</w:t>
      </w:r>
      <w:r w:rsidR="00F07227" w:rsidRPr="000B58C1">
        <w:rPr>
          <w:rFonts w:ascii="Times New Roman" w:hAnsi="Times New Roman" w:cs="Times New Roman"/>
          <w:sz w:val="24"/>
          <w:szCs w:val="24"/>
        </w:rPr>
        <w:t xml:space="preserve"> građevine javne odvodnje oborinskih voda, javne zelene površine, građevine, uređaji i predmeti javne namjene, groblja, javna rasvjeta, čistoća javnih površina</w:t>
      </w:r>
      <w:r w:rsidRPr="000B58C1">
        <w:rPr>
          <w:rFonts w:ascii="Times New Roman" w:hAnsi="Times New Roman" w:cs="Times New Roman"/>
          <w:sz w:val="24"/>
          <w:szCs w:val="24"/>
        </w:rPr>
        <w:t xml:space="preserve">)  </w:t>
      </w:r>
    </w:p>
    <w:p w14:paraId="72A73AFE" w14:textId="3AEB6BA7" w:rsidR="00635BF7" w:rsidRDefault="00635BF7" w:rsidP="00DA560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F7">
        <w:rPr>
          <w:rFonts w:ascii="Times New Roman" w:hAnsi="Times New Roman" w:cs="Times New Roman"/>
          <w:sz w:val="24"/>
          <w:szCs w:val="24"/>
        </w:rPr>
        <w:t>Sufinancirana je projektna dokumentacija za investicije u javnu infrastrukturu - rekonstrukcija raskrižju D8 i RZ12 u Mučićima, raskrižje u centru Matulja</w:t>
      </w:r>
    </w:p>
    <w:p w14:paraId="4B6C5453" w14:textId="06118212" w:rsidR="00DA5604" w:rsidRPr="00DA5604" w:rsidRDefault="00DA5604" w:rsidP="00DA5604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604">
        <w:rPr>
          <w:rFonts w:ascii="Times New Roman" w:hAnsi="Times New Roman" w:cs="Times New Roman"/>
          <w:sz w:val="24"/>
          <w:szCs w:val="24"/>
        </w:rPr>
        <w:t>Sufinancirano je izvođenje radova rekonstrukcije ceste, oborinske odvodnje i nogostupa na ŽC 5047</w:t>
      </w:r>
    </w:p>
    <w:p w14:paraId="3FA492CE" w14:textId="6BDC9C54" w:rsidR="006762EC" w:rsidRPr="000B58C1" w:rsidRDefault="00F07227" w:rsidP="006762EC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Redovno </w:t>
      </w:r>
      <w:r w:rsidR="004A54F3" w:rsidRPr="000B58C1">
        <w:rPr>
          <w:rFonts w:ascii="Times New Roman" w:hAnsi="Times New Roman" w:cs="Times New Roman"/>
          <w:sz w:val="24"/>
          <w:szCs w:val="24"/>
        </w:rPr>
        <w:t>je</w:t>
      </w:r>
      <w:r w:rsidRPr="000B58C1">
        <w:rPr>
          <w:rFonts w:ascii="Times New Roman" w:hAnsi="Times New Roman" w:cs="Times New Roman"/>
          <w:sz w:val="24"/>
          <w:szCs w:val="24"/>
        </w:rPr>
        <w:t xml:space="preserve"> podmir</w:t>
      </w:r>
      <w:r w:rsidR="004A54F3" w:rsidRPr="000B58C1">
        <w:rPr>
          <w:rFonts w:ascii="Times New Roman" w:hAnsi="Times New Roman" w:cs="Times New Roman"/>
          <w:sz w:val="24"/>
          <w:szCs w:val="24"/>
        </w:rPr>
        <w:t>ivana</w:t>
      </w:r>
      <w:r w:rsidR="006762EC"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Pr="000B58C1">
        <w:rPr>
          <w:rFonts w:ascii="Times New Roman" w:hAnsi="Times New Roman" w:cs="Times New Roman"/>
          <w:sz w:val="24"/>
          <w:szCs w:val="24"/>
        </w:rPr>
        <w:t xml:space="preserve">subvencija za </w:t>
      </w:r>
      <w:r w:rsidR="003C5FBD" w:rsidRPr="000B58C1">
        <w:rPr>
          <w:rFonts w:ascii="Times New Roman" w:hAnsi="Times New Roman" w:cs="Times New Roman"/>
          <w:sz w:val="24"/>
          <w:szCs w:val="24"/>
        </w:rPr>
        <w:t xml:space="preserve">javni </w:t>
      </w:r>
      <w:r w:rsidRPr="000B58C1">
        <w:rPr>
          <w:rFonts w:ascii="Times New Roman" w:hAnsi="Times New Roman" w:cs="Times New Roman"/>
          <w:sz w:val="24"/>
          <w:szCs w:val="24"/>
        </w:rPr>
        <w:t xml:space="preserve">autobusni </w:t>
      </w:r>
      <w:r w:rsidR="003C5FBD" w:rsidRPr="000B58C1">
        <w:rPr>
          <w:rFonts w:ascii="Times New Roman" w:hAnsi="Times New Roman" w:cs="Times New Roman"/>
          <w:sz w:val="24"/>
          <w:szCs w:val="24"/>
        </w:rPr>
        <w:t>prijevoz</w:t>
      </w:r>
      <w:r w:rsidRPr="000B58C1">
        <w:rPr>
          <w:rFonts w:ascii="Times New Roman" w:hAnsi="Times New Roman" w:cs="Times New Roman"/>
          <w:sz w:val="24"/>
          <w:szCs w:val="24"/>
        </w:rPr>
        <w:t xml:space="preserve"> i željeznički prijevoz</w:t>
      </w:r>
    </w:p>
    <w:p w14:paraId="7C2729FD" w14:textId="7777777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lastRenderedPageBreak/>
        <w:t>5.1. Regija zdravlja i kvalitete života</w:t>
      </w:r>
    </w:p>
    <w:p w14:paraId="2BD19598" w14:textId="33E550E4" w:rsidR="00635BF7" w:rsidRDefault="00635BF7" w:rsidP="00DA560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9747258"/>
      <w:r w:rsidRPr="00635BF7">
        <w:rPr>
          <w:rFonts w:ascii="Times New Roman" w:hAnsi="Times New Roman" w:cs="Times New Roman"/>
          <w:sz w:val="24"/>
          <w:szCs w:val="24"/>
        </w:rPr>
        <w:t xml:space="preserve">Provedeno je </w:t>
      </w:r>
      <w:r w:rsidR="00AC242F">
        <w:rPr>
          <w:rFonts w:ascii="Times New Roman" w:hAnsi="Times New Roman" w:cs="Times New Roman"/>
          <w:sz w:val="24"/>
          <w:szCs w:val="24"/>
        </w:rPr>
        <w:t>7</w:t>
      </w:r>
      <w:r w:rsidRPr="00635BF7">
        <w:rPr>
          <w:rFonts w:ascii="Times New Roman" w:hAnsi="Times New Roman" w:cs="Times New Roman"/>
          <w:sz w:val="24"/>
          <w:szCs w:val="24"/>
        </w:rPr>
        <w:t xml:space="preserve"> preventivnih programa (zdravstveni pregledi - </w:t>
      </w:r>
      <w:r w:rsidR="00AC242F">
        <w:rPr>
          <w:rFonts w:ascii="Times New Roman" w:hAnsi="Times New Roman" w:cs="Times New Roman"/>
          <w:sz w:val="24"/>
          <w:szCs w:val="24"/>
        </w:rPr>
        <w:t>366</w:t>
      </w:r>
      <w:r w:rsidRPr="00635BF7">
        <w:rPr>
          <w:rFonts w:ascii="Times New Roman" w:hAnsi="Times New Roman" w:cs="Times New Roman"/>
          <w:sz w:val="24"/>
          <w:szCs w:val="24"/>
        </w:rPr>
        <w:t xml:space="preserve"> korisnika, fitness programi - </w:t>
      </w:r>
      <w:r w:rsidR="00AC242F">
        <w:rPr>
          <w:rFonts w:ascii="Times New Roman" w:hAnsi="Times New Roman" w:cs="Times New Roman"/>
          <w:sz w:val="24"/>
          <w:szCs w:val="24"/>
        </w:rPr>
        <w:t>95</w:t>
      </w:r>
      <w:r w:rsidRPr="00635BF7">
        <w:rPr>
          <w:rFonts w:ascii="Times New Roman" w:hAnsi="Times New Roman" w:cs="Times New Roman"/>
          <w:sz w:val="24"/>
          <w:szCs w:val="24"/>
        </w:rPr>
        <w:t xml:space="preserve"> korisnika, fizikalna terapija i rehabilitacija za žene - </w:t>
      </w:r>
      <w:r w:rsidR="00AC242F">
        <w:rPr>
          <w:rFonts w:ascii="Times New Roman" w:hAnsi="Times New Roman" w:cs="Times New Roman"/>
          <w:sz w:val="24"/>
          <w:szCs w:val="24"/>
        </w:rPr>
        <w:t>80</w:t>
      </w:r>
      <w:r w:rsidRPr="00635BF7">
        <w:rPr>
          <w:rFonts w:ascii="Times New Roman" w:hAnsi="Times New Roman" w:cs="Times New Roman"/>
          <w:sz w:val="24"/>
          <w:szCs w:val="24"/>
        </w:rPr>
        <w:t xml:space="preserve"> korisnik)</w:t>
      </w:r>
    </w:p>
    <w:p w14:paraId="091D28CF" w14:textId="170499D3" w:rsidR="00635BF7" w:rsidRDefault="00635BF7" w:rsidP="00DA560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F7">
        <w:rPr>
          <w:rFonts w:ascii="Times New Roman" w:hAnsi="Times New Roman" w:cs="Times New Roman"/>
          <w:sz w:val="24"/>
          <w:szCs w:val="24"/>
        </w:rPr>
        <w:t xml:space="preserve"> Redovno se odvija rad Savjetovališta za djecu, mlade i obitelj - </w:t>
      </w:r>
      <w:r w:rsidR="00AC242F">
        <w:rPr>
          <w:rFonts w:ascii="Times New Roman" w:hAnsi="Times New Roman" w:cs="Times New Roman"/>
          <w:sz w:val="24"/>
          <w:szCs w:val="24"/>
        </w:rPr>
        <w:t>65</w:t>
      </w:r>
      <w:r w:rsidRPr="00635BF7">
        <w:rPr>
          <w:rFonts w:ascii="Times New Roman" w:hAnsi="Times New Roman" w:cs="Times New Roman"/>
          <w:sz w:val="24"/>
          <w:szCs w:val="24"/>
        </w:rPr>
        <w:t xml:space="preserve"> korisnika za logopedske usluge za učenike, </w:t>
      </w:r>
      <w:r w:rsidR="00AC242F">
        <w:rPr>
          <w:rFonts w:ascii="Times New Roman" w:hAnsi="Times New Roman" w:cs="Times New Roman"/>
          <w:sz w:val="24"/>
          <w:szCs w:val="24"/>
        </w:rPr>
        <w:t>35</w:t>
      </w:r>
      <w:r w:rsidRPr="00635BF7">
        <w:rPr>
          <w:rFonts w:ascii="Times New Roman" w:hAnsi="Times New Roman" w:cs="Times New Roman"/>
          <w:sz w:val="24"/>
          <w:szCs w:val="24"/>
        </w:rPr>
        <w:t xml:space="preserve"> korisnika za usluge socijalnog pedagoga, </w:t>
      </w:r>
      <w:r w:rsidR="00AC242F">
        <w:rPr>
          <w:rFonts w:ascii="Times New Roman" w:hAnsi="Times New Roman" w:cs="Times New Roman"/>
          <w:sz w:val="24"/>
          <w:szCs w:val="24"/>
        </w:rPr>
        <w:t>31</w:t>
      </w:r>
      <w:r w:rsidRPr="00635BF7">
        <w:rPr>
          <w:rFonts w:ascii="Times New Roman" w:hAnsi="Times New Roman" w:cs="Times New Roman"/>
          <w:sz w:val="24"/>
          <w:szCs w:val="24"/>
        </w:rPr>
        <w:t xml:space="preserve"> korisnika za psihološko savjetovanje (individualno savjetovanje i obiteljske terapije)</w:t>
      </w:r>
    </w:p>
    <w:p w14:paraId="3AB789C2" w14:textId="7ECD899D" w:rsidR="00DA5604" w:rsidRPr="00DA5604" w:rsidRDefault="00635BF7" w:rsidP="00DA5604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BF7">
        <w:rPr>
          <w:rFonts w:ascii="Times New Roman" w:hAnsi="Times New Roman" w:cs="Times New Roman"/>
          <w:sz w:val="24"/>
          <w:szCs w:val="24"/>
        </w:rPr>
        <w:t>Sufinancirana su 4 zdravstvena programa Doma zdravlja Primorsko-goranske županije - Palijativna skrb, Posebno dežurstvo, Tečaj za trudnice i Tečaj za dojenje</w:t>
      </w:r>
    </w:p>
    <w:bookmarkEnd w:id="0"/>
    <w:p w14:paraId="7FD5077B" w14:textId="30A8B19F" w:rsidR="00F07227" w:rsidRPr="00DA5604" w:rsidRDefault="00F07227" w:rsidP="00DA5604">
      <w:pPr>
        <w:pStyle w:val="Odlomakpopis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2C1B4" w14:textId="7777777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>5.2. Visok socijalni standard i dostojanstveno starenje</w:t>
      </w:r>
    </w:p>
    <w:p w14:paraId="58C6597B" w14:textId="53AE5ECB" w:rsidR="00F07227" w:rsidRPr="00331BF0" w:rsidRDefault="00F07227" w:rsidP="00F07227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BF0">
        <w:rPr>
          <w:rFonts w:ascii="Times New Roman" w:hAnsi="Times New Roman" w:cs="Times New Roman"/>
          <w:sz w:val="24"/>
          <w:szCs w:val="24"/>
        </w:rPr>
        <w:t xml:space="preserve">Redovno </w:t>
      </w:r>
      <w:r w:rsidR="00A278E7" w:rsidRPr="00331BF0">
        <w:rPr>
          <w:rFonts w:ascii="Times New Roman" w:hAnsi="Times New Roman" w:cs="Times New Roman"/>
          <w:sz w:val="24"/>
          <w:szCs w:val="24"/>
        </w:rPr>
        <w:t>su s</w:t>
      </w:r>
      <w:r w:rsidRPr="00331BF0">
        <w:rPr>
          <w:rFonts w:ascii="Times New Roman" w:hAnsi="Times New Roman" w:cs="Times New Roman"/>
          <w:sz w:val="24"/>
          <w:szCs w:val="24"/>
        </w:rPr>
        <w:t>ufinancirane aktivnosti Crvenog križa i programa Pomoć u kući</w:t>
      </w:r>
      <w:r w:rsidR="00AB3EB1" w:rsidRPr="00331BF0">
        <w:rPr>
          <w:rFonts w:ascii="Times New Roman" w:hAnsi="Times New Roman" w:cs="Times New Roman"/>
          <w:sz w:val="24"/>
          <w:szCs w:val="24"/>
        </w:rPr>
        <w:t xml:space="preserve"> (</w:t>
      </w:r>
      <w:r w:rsidR="00FF433D">
        <w:rPr>
          <w:rFonts w:ascii="Times New Roman" w:hAnsi="Times New Roman" w:cs="Times New Roman"/>
          <w:sz w:val="24"/>
          <w:szCs w:val="24"/>
        </w:rPr>
        <w:t>11</w:t>
      </w:r>
      <w:r w:rsidR="00AB3EB1" w:rsidRPr="00331BF0">
        <w:rPr>
          <w:rFonts w:ascii="Times New Roman" w:hAnsi="Times New Roman" w:cs="Times New Roman"/>
          <w:sz w:val="24"/>
          <w:szCs w:val="24"/>
        </w:rPr>
        <w:t xml:space="preserve"> korisnika)</w:t>
      </w:r>
    </w:p>
    <w:p w14:paraId="6692CC24" w14:textId="241861B4" w:rsidR="00BC66B1" w:rsidRPr="00331BF0" w:rsidRDefault="00BC66B1" w:rsidP="00BC66B1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BF0">
        <w:rPr>
          <w:rFonts w:ascii="Times New Roman" w:hAnsi="Times New Roman" w:cs="Times New Roman"/>
          <w:sz w:val="24"/>
          <w:szCs w:val="24"/>
        </w:rPr>
        <w:t xml:space="preserve">Dodijeljene su pomoći iz socijalne skrbi za ukupno za </w:t>
      </w:r>
      <w:r w:rsidR="00635BF7">
        <w:rPr>
          <w:rFonts w:ascii="Times New Roman" w:hAnsi="Times New Roman" w:cs="Times New Roman"/>
          <w:sz w:val="24"/>
          <w:szCs w:val="24"/>
        </w:rPr>
        <w:t>637</w:t>
      </w:r>
      <w:r w:rsidR="00710EBE" w:rsidRPr="00331BF0">
        <w:rPr>
          <w:rFonts w:ascii="Times New Roman" w:hAnsi="Times New Roman" w:cs="Times New Roman"/>
          <w:sz w:val="24"/>
          <w:szCs w:val="24"/>
        </w:rPr>
        <w:t xml:space="preserve"> </w:t>
      </w:r>
      <w:r w:rsidRPr="00331BF0">
        <w:rPr>
          <w:rFonts w:ascii="Times New Roman" w:hAnsi="Times New Roman" w:cs="Times New Roman"/>
          <w:sz w:val="24"/>
          <w:szCs w:val="24"/>
        </w:rPr>
        <w:t>korisnika</w:t>
      </w:r>
    </w:p>
    <w:p w14:paraId="0378F96E" w14:textId="67B0671C" w:rsidR="00E23796" w:rsidRPr="00DA5604" w:rsidRDefault="00F07227" w:rsidP="00E23796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Redovno </w:t>
      </w:r>
      <w:r w:rsidR="00E23796" w:rsidRPr="000B58C1">
        <w:rPr>
          <w:rFonts w:ascii="Times New Roman" w:hAnsi="Times New Roman" w:cs="Times New Roman"/>
          <w:sz w:val="24"/>
          <w:szCs w:val="24"/>
        </w:rPr>
        <w:t>je</w:t>
      </w:r>
      <w:r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8C4DC1" w:rsidRPr="000B58C1">
        <w:rPr>
          <w:rFonts w:ascii="Times New Roman" w:hAnsi="Times New Roman" w:cs="Times New Roman"/>
          <w:sz w:val="24"/>
          <w:szCs w:val="24"/>
        </w:rPr>
        <w:t>isplać</w:t>
      </w:r>
      <w:r w:rsidR="00E23796" w:rsidRPr="000B58C1">
        <w:rPr>
          <w:rFonts w:ascii="Times New Roman" w:hAnsi="Times New Roman" w:cs="Times New Roman"/>
          <w:sz w:val="24"/>
          <w:szCs w:val="24"/>
        </w:rPr>
        <w:t>ivana naknada za</w:t>
      </w:r>
      <w:r w:rsidR="001C0CE0" w:rsidRPr="000B58C1">
        <w:rPr>
          <w:rFonts w:ascii="Times New Roman" w:hAnsi="Times New Roman" w:cs="Times New Roman"/>
          <w:sz w:val="24"/>
          <w:szCs w:val="24"/>
        </w:rPr>
        <w:t xml:space="preserve"> troškov</w:t>
      </w:r>
      <w:r w:rsidR="0091645E">
        <w:rPr>
          <w:rFonts w:ascii="Times New Roman" w:hAnsi="Times New Roman" w:cs="Times New Roman"/>
          <w:sz w:val="24"/>
          <w:szCs w:val="24"/>
        </w:rPr>
        <w:t>e</w:t>
      </w:r>
      <w:r w:rsidR="001C0CE0" w:rsidRPr="000B58C1">
        <w:rPr>
          <w:rFonts w:ascii="Times New Roman" w:hAnsi="Times New Roman" w:cs="Times New Roman"/>
          <w:sz w:val="24"/>
          <w:szCs w:val="24"/>
        </w:rPr>
        <w:t xml:space="preserve"> stanovanja za </w:t>
      </w:r>
      <w:r w:rsidR="00710EBE">
        <w:rPr>
          <w:rFonts w:ascii="Times New Roman" w:hAnsi="Times New Roman" w:cs="Times New Roman"/>
          <w:sz w:val="24"/>
          <w:szCs w:val="24"/>
        </w:rPr>
        <w:t>2</w:t>
      </w:r>
      <w:r w:rsidR="00635BF7">
        <w:rPr>
          <w:rFonts w:ascii="Times New Roman" w:hAnsi="Times New Roman" w:cs="Times New Roman"/>
          <w:sz w:val="24"/>
          <w:szCs w:val="24"/>
        </w:rPr>
        <w:t>2</w:t>
      </w:r>
      <w:r w:rsidR="001C0CE0" w:rsidRPr="000B58C1">
        <w:rPr>
          <w:rFonts w:ascii="Times New Roman" w:hAnsi="Times New Roman" w:cs="Times New Roman"/>
          <w:sz w:val="24"/>
          <w:szCs w:val="24"/>
        </w:rPr>
        <w:t xml:space="preserve"> korisnika</w:t>
      </w:r>
      <w:r w:rsidR="00E23796" w:rsidRPr="000B58C1">
        <w:rPr>
          <w:rFonts w:ascii="Times New Roman" w:hAnsi="Times New Roman" w:cs="Times New Roman"/>
          <w:sz w:val="24"/>
          <w:szCs w:val="24"/>
        </w:rPr>
        <w:t xml:space="preserve"> te naknada za troškove ogrjeva za </w:t>
      </w:r>
      <w:r w:rsidR="00635BF7">
        <w:rPr>
          <w:rFonts w:ascii="Times New Roman" w:hAnsi="Times New Roman" w:cs="Times New Roman"/>
          <w:sz w:val="24"/>
          <w:szCs w:val="24"/>
        </w:rPr>
        <w:t>18</w:t>
      </w:r>
      <w:r w:rsidR="00E23796" w:rsidRPr="000B58C1">
        <w:rPr>
          <w:rFonts w:ascii="Times New Roman" w:hAnsi="Times New Roman" w:cs="Times New Roman"/>
          <w:sz w:val="24"/>
          <w:szCs w:val="24"/>
        </w:rPr>
        <w:t xml:space="preserve"> korisnika</w:t>
      </w:r>
    </w:p>
    <w:p w14:paraId="670426F7" w14:textId="1D1D18C0" w:rsidR="00AB3EB1" w:rsidRPr="00710EBE" w:rsidRDefault="009979AB" w:rsidP="00E23796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604">
        <w:rPr>
          <w:rFonts w:ascii="Times New Roman" w:hAnsi="Times New Roman" w:cs="Times New Roman"/>
          <w:sz w:val="24"/>
          <w:szCs w:val="24"/>
        </w:rPr>
        <w:t>D</w:t>
      </w:r>
      <w:r w:rsidR="001C0CE0" w:rsidRPr="00DA5604">
        <w:rPr>
          <w:rFonts w:ascii="Times New Roman" w:hAnsi="Times New Roman" w:cs="Times New Roman"/>
          <w:sz w:val="24"/>
          <w:szCs w:val="24"/>
        </w:rPr>
        <w:t>odijeljeno je</w:t>
      </w:r>
      <w:r w:rsidR="00AB3EB1" w:rsidRPr="00DA5604">
        <w:rPr>
          <w:rFonts w:ascii="Times New Roman" w:hAnsi="Times New Roman" w:cs="Times New Roman"/>
          <w:sz w:val="24"/>
          <w:szCs w:val="24"/>
        </w:rPr>
        <w:t xml:space="preserve"> </w:t>
      </w:r>
      <w:r w:rsidR="00635BF7">
        <w:rPr>
          <w:rFonts w:ascii="Times New Roman" w:hAnsi="Times New Roman" w:cs="Times New Roman"/>
          <w:sz w:val="24"/>
          <w:szCs w:val="24"/>
        </w:rPr>
        <w:t>310</w:t>
      </w:r>
      <w:r w:rsidRPr="00DA5604">
        <w:rPr>
          <w:rFonts w:ascii="Times New Roman" w:hAnsi="Times New Roman" w:cs="Times New Roman"/>
          <w:sz w:val="24"/>
          <w:szCs w:val="24"/>
        </w:rPr>
        <w:t xml:space="preserve"> </w:t>
      </w:r>
      <w:r w:rsidR="00DA5604" w:rsidRPr="00DA5604">
        <w:rPr>
          <w:rFonts w:ascii="Times New Roman" w:hAnsi="Times New Roman" w:cs="Times New Roman"/>
          <w:sz w:val="24"/>
          <w:szCs w:val="24"/>
        </w:rPr>
        <w:t>pomoći</w:t>
      </w:r>
      <w:r w:rsidR="001C0CE0" w:rsidRPr="00DA5604">
        <w:rPr>
          <w:rFonts w:ascii="Times New Roman" w:hAnsi="Times New Roman" w:cs="Times New Roman"/>
          <w:sz w:val="24"/>
          <w:szCs w:val="24"/>
        </w:rPr>
        <w:t xml:space="preserve"> umirovljenicima </w:t>
      </w:r>
      <w:r w:rsidRPr="00DA5604">
        <w:rPr>
          <w:rFonts w:ascii="Times New Roman" w:hAnsi="Times New Roman" w:cs="Times New Roman"/>
          <w:sz w:val="24"/>
          <w:szCs w:val="24"/>
        </w:rPr>
        <w:t>povodom</w:t>
      </w:r>
      <w:r w:rsidR="001C0CE0" w:rsidRPr="00DA5604">
        <w:rPr>
          <w:rFonts w:ascii="Times New Roman" w:hAnsi="Times New Roman" w:cs="Times New Roman"/>
          <w:sz w:val="24"/>
          <w:szCs w:val="24"/>
        </w:rPr>
        <w:t xml:space="preserve"> Uskrs</w:t>
      </w:r>
      <w:r w:rsidRPr="00DA5604">
        <w:rPr>
          <w:rFonts w:ascii="Times New Roman" w:hAnsi="Times New Roman" w:cs="Times New Roman"/>
          <w:sz w:val="24"/>
          <w:szCs w:val="24"/>
        </w:rPr>
        <w:t>a</w:t>
      </w:r>
      <w:r w:rsidR="001C0CE0" w:rsidRPr="00DA5604">
        <w:rPr>
          <w:rFonts w:ascii="Times New Roman" w:hAnsi="Times New Roman" w:cs="Times New Roman"/>
          <w:sz w:val="24"/>
          <w:szCs w:val="24"/>
        </w:rPr>
        <w:t xml:space="preserve"> </w:t>
      </w:r>
      <w:r w:rsidR="0078441D" w:rsidRPr="00DA5604">
        <w:rPr>
          <w:rFonts w:ascii="Times New Roman" w:hAnsi="Times New Roman" w:cs="Times New Roman"/>
          <w:sz w:val="24"/>
          <w:szCs w:val="24"/>
        </w:rPr>
        <w:t xml:space="preserve">te </w:t>
      </w:r>
      <w:r w:rsidR="00635BF7">
        <w:rPr>
          <w:rFonts w:ascii="Times New Roman" w:hAnsi="Times New Roman" w:cs="Times New Roman"/>
          <w:sz w:val="24"/>
          <w:szCs w:val="24"/>
        </w:rPr>
        <w:t>570</w:t>
      </w:r>
      <w:r w:rsidR="0078441D" w:rsidRPr="00DA5604">
        <w:rPr>
          <w:rFonts w:ascii="Times New Roman" w:hAnsi="Times New Roman" w:cs="Times New Roman"/>
          <w:sz w:val="24"/>
          <w:szCs w:val="24"/>
        </w:rPr>
        <w:t xml:space="preserve"> </w:t>
      </w:r>
      <w:r w:rsidR="00DA5604" w:rsidRPr="00DA5604">
        <w:rPr>
          <w:rFonts w:ascii="Times New Roman" w:hAnsi="Times New Roman" w:cs="Times New Roman"/>
          <w:sz w:val="24"/>
          <w:szCs w:val="24"/>
        </w:rPr>
        <w:t xml:space="preserve">pomoći </w:t>
      </w:r>
      <w:r w:rsidR="00710EBE" w:rsidRPr="00DA5604">
        <w:rPr>
          <w:rFonts w:ascii="Times New Roman" w:hAnsi="Times New Roman" w:cs="Times New Roman"/>
          <w:sz w:val="24"/>
          <w:szCs w:val="24"/>
        </w:rPr>
        <w:t xml:space="preserve">povodom </w:t>
      </w:r>
      <w:r w:rsidR="00710EBE" w:rsidRPr="00710EBE">
        <w:rPr>
          <w:rFonts w:ascii="Times New Roman" w:hAnsi="Times New Roman" w:cs="Times New Roman"/>
          <w:sz w:val="24"/>
          <w:szCs w:val="24"/>
        </w:rPr>
        <w:t>Božića</w:t>
      </w:r>
      <w:r w:rsidR="00710EBE">
        <w:rPr>
          <w:rFonts w:ascii="Times New Roman" w:hAnsi="Times New Roman" w:cs="Times New Roman"/>
          <w:sz w:val="24"/>
          <w:szCs w:val="24"/>
        </w:rPr>
        <w:t xml:space="preserve"> umirovljenicima, osobama s invaliditetom te osobama slabijeg imovinskog stanja </w:t>
      </w:r>
    </w:p>
    <w:p w14:paraId="23C8CD03" w14:textId="2B843FC3" w:rsidR="00DA5604" w:rsidRPr="00DA5604" w:rsidRDefault="00DA5604" w:rsidP="00DA5604">
      <w:pPr>
        <w:pStyle w:val="Odlomakpopisa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DA5604">
        <w:rPr>
          <w:rFonts w:ascii="Times New Roman" w:hAnsi="Times New Roman" w:cs="Times New Roman"/>
          <w:sz w:val="24"/>
          <w:szCs w:val="24"/>
        </w:rPr>
        <w:t>Proveden je javni poziv za financiranje programa, projekata i manifestacija koje provode udruge i druge organizacije civilnog društva u 202</w:t>
      </w:r>
      <w:r w:rsidR="00635BF7">
        <w:rPr>
          <w:rFonts w:ascii="Times New Roman" w:hAnsi="Times New Roman" w:cs="Times New Roman"/>
          <w:sz w:val="24"/>
          <w:szCs w:val="24"/>
        </w:rPr>
        <w:t>4</w:t>
      </w:r>
      <w:r w:rsidRPr="00DA5604">
        <w:rPr>
          <w:rFonts w:ascii="Times New Roman" w:hAnsi="Times New Roman" w:cs="Times New Roman"/>
          <w:sz w:val="24"/>
          <w:szCs w:val="24"/>
        </w:rPr>
        <w:t xml:space="preserve">. godini te su dodijeljena sredstva za provedbu </w:t>
      </w:r>
      <w:r w:rsidR="00635BF7">
        <w:rPr>
          <w:rFonts w:ascii="Times New Roman" w:hAnsi="Times New Roman" w:cs="Times New Roman"/>
          <w:sz w:val="24"/>
          <w:szCs w:val="24"/>
        </w:rPr>
        <w:t>5</w:t>
      </w:r>
      <w:r w:rsidRPr="00DA5604">
        <w:rPr>
          <w:rFonts w:ascii="Times New Roman" w:hAnsi="Times New Roman" w:cs="Times New Roman"/>
          <w:sz w:val="24"/>
          <w:szCs w:val="24"/>
        </w:rPr>
        <w:t xml:space="preserve"> programa iz područja </w:t>
      </w:r>
      <w:r>
        <w:rPr>
          <w:rFonts w:ascii="Times New Roman" w:hAnsi="Times New Roman" w:cs="Times New Roman"/>
          <w:sz w:val="24"/>
          <w:szCs w:val="24"/>
        </w:rPr>
        <w:t>socijalne skrbi</w:t>
      </w:r>
    </w:p>
    <w:p w14:paraId="4B806136" w14:textId="0FBAAF57" w:rsidR="001C0CE0" w:rsidRPr="000B58C1" w:rsidRDefault="001C0CE0" w:rsidP="007A3832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Dodijeljeno </w:t>
      </w:r>
      <w:r w:rsidR="00DA5604">
        <w:rPr>
          <w:rFonts w:ascii="Times New Roman" w:hAnsi="Times New Roman" w:cs="Times New Roman"/>
          <w:sz w:val="24"/>
          <w:szCs w:val="24"/>
        </w:rPr>
        <w:t>80 naknada</w:t>
      </w:r>
      <w:r w:rsidRPr="000B58C1">
        <w:rPr>
          <w:rFonts w:ascii="Times New Roman" w:hAnsi="Times New Roman" w:cs="Times New Roman"/>
          <w:sz w:val="24"/>
          <w:szCs w:val="24"/>
        </w:rPr>
        <w:t xml:space="preserve"> za novorođenu djecu</w:t>
      </w:r>
      <w:r w:rsidR="00962C8A" w:rsidRPr="000B58C1">
        <w:rPr>
          <w:rFonts w:ascii="Times New Roman" w:hAnsi="Times New Roman" w:cs="Times New Roman"/>
          <w:sz w:val="24"/>
          <w:szCs w:val="24"/>
        </w:rPr>
        <w:t xml:space="preserve"> sukladno odluci</w:t>
      </w:r>
    </w:p>
    <w:p w14:paraId="642CADBC" w14:textId="42BE55A6" w:rsidR="001C0CE0" w:rsidRPr="000B58C1" w:rsidRDefault="001C0CE0" w:rsidP="00F07227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>Redovno s</w:t>
      </w:r>
      <w:r w:rsidR="0078441D" w:rsidRPr="000B58C1">
        <w:rPr>
          <w:rFonts w:ascii="Times New Roman" w:hAnsi="Times New Roman" w:cs="Times New Roman"/>
          <w:sz w:val="24"/>
          <w:szCs w:val="24"/>
        </w:rPr>
        <w:t>u se</w:t>
      </w:r>
      <w:r w:rsidRPr="000B58C1">
        <w:rPr>
          <w:rFonts w:ascii="Times New Roman" w:hAnsi="Times New Roman" w:cs="Times New Roman"/>
          <w:sz w:val="24"/>
          <w:szCs w:val="24"/>
        </w:rPr>
        <w:t xml:space="preserve"> provod</w:t>
      </w:r>
      <w:r w:rsidR="0078441D" w:rsidRPr="000B58C1">
        <w:rPr>
          <w:rFonts w:ascii="Times New Roman" w:hAnsi="Times New Roman" w:cs="Times New Roman"/>
          <w:sz w:val="24"/>
          <w:szCs w:val="24"/>
        </w:rPr>
        <w:t>ile</w:t>
      </w:r>
      <w:r w:rsidRPr="000B58C1">
        <w:rPr>
          <w:rFonts w:ascii="Times New Roman" w:hAnsi="Times New Roman" w:cs="Times New Roman"/>
          <w:sz w:val="24"/>
          <w:szCs w:val="24"/>
        </w:rPr>
        <w:t xml:space="preserve"> aktivnosti pr</w:t>
      </w:r>
      <w:r w:rsidR="00F07227" w:rsidRPr="000B58C1">
        <w:rPr>
          <w:rFonts w:ascii="Times New Roman" w:hAnsi="Times New Roman" w:cs="Times New Roman"/>
          <w:sz w:val="24"/>
          <w:szCs w:val="24"/>
        </w:rPr>
        <w:t>ojekt</w:t>
      </w:r>
      <w:r w:rsidRPr="000B58C1">
        <w:rPr>
          <w:rFonts w:ascii="Times New Roman" w:hAnsi="Times New Roman" w:cs="Times New Roman"/>
          <w:sz w:val="24"/>
          <w:szCs w:val="24"/>
        </w:rPr>
        <w:t>a</w:t>
      </w:r>
      <w:r w:rsidR="00F07227"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635BF7">
        <w:rPr>
          <w:rFonts w:ascii="Times New Roman" w:hAnsi="Times New Roman" w:cs="Times New Roman"/>
          <w:sz w:val="24"/>
          <w:szCs w:val="24"/>
        </w:rPr>
        <w:t>Zajedno u pomoći potrebitima</w:t>
      </w:r>
      <w:r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635BF7">
        <w:rPr>
          <w:rFonts w:ascii="Times New Roman" w:hAnsi="Times New Roman" w:cs="Times New Roman"/>
          <w:sz w:val="24"/>
          <w:szCs w:val="24"/>
        </w:rPr>
        <w:t>-</w:t>
      </w:r>
      <w:r w:rsidRPr="000B58C1">
        <w:rPr>
          <w:rFonts w:ascii="Times New Roman" w:hAnsi="Times New Roman" w:cs="Times New Roman"/>
          <w:sz w:val="24"/>
          <w:szCs w:val="24"/>
        </w:rPr>
        <w:t xml:space="preserve"> </w:t>
      </w:r>
      <w:r w:rsidR="00635BF7" w:rsidRPr="00A51045">
        <w:rPr>
          <w:rFonts w:ascii="Times New Roman" w:hAnsi="Times New Roman" w:cs="Times New Roman"/>
          <w:sz w:val="24"/>
          <w:szCs w:val="24"/>
        </w:rPr>
        <w:t>8</w:t>
      </w:r>
      <w:r w:rsidR="00A51045" w:rsidRPr="00A51045">
        <w:rPr>
          <w:rFonts w:ascii="Times New Roman" w:hAnsi="Times New Roman" w:cs="Times New Roman"/>
          <w:sz w:val="24"/>
          <w:szCs w:val="24"/>
        </w:rPr>
        <w:t>1</w:t>
      </w:r>
      <w:r w:rsidR="00635BF7">
        <w:rPr>
          <w:rFonts w:ascii="Times New Roman" w:hAnsi="Times New Roman" w:cs="Times New Roman"/>
          <w:sz w:val="24"/>
          <w:szCs w:val="24"/>
        </w:rPr>
        <w:t xml:space="preserve"> korisnik</w:t>
      </w:r>
      <w:r w:rsidR="00A51045">
        <w:rPr>
          <w:rFonts w:ascii="Times New Roman" w:hAnsi="Times New Roman" w:cs="Times New Roman"/>
          <w:sz w:val="24"/>
          <w:szCs w:val="24"/>
        </w:rPr>
        <w:t>, o</w:t>
      </w:r>
      <w:r w:rsidR="00A51045" w:rsidRPr="00A51045">
        <w:rPr>
          <w:rFonts w:ascii="Times New Roman" w:hAnsi="Times New Roman" w:cs="Times New Roman"/>
          <w:sz w:val="24"/>
          <w:szCs w:val="24"/>
        </w:rPr>
        <w:t>d tog</w:t>
      </w:r>
      <w:r w:rsidR="00A51045">
        <w:rPr>
          <w:rFonts w:ascii="Times New Roman" w:hAnsi="Times New Roman" w:cs="Times New Roman"/>
          <w:sz w:val="24"/>
          <w:szCs w:val="24"/>
        </w:rPr>
        <w:t>a s</w:t>
      </w:r>
      <w:r w:rsidR="00A51045" w:rsidRPr="00A51045">
        <w:rPr>
          <w:rFonts w:ascii="Times New Roman" w:hAnsi="Times New Roman" w:cs="Times New Roman"/>
          <w:sz w:val="24"/>
          <w:szCs w:val="24"/>
        </w:rPr>
        <w:t xml:space="preserve"> područja Općine Matulji 45 korisnika</w:t>
      </w:r>
    </w:p>
    <w:p w14:paraId="4AA73D0F" w14:textId="77777777" w:rsidR="006358EA" w:rsidRPr="00490550" w:rsidRDefault="006358EA" w:rsidP="00EB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4DD45C" w14:textId="7777777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>5.3. Razvoj kulture i sporta te poticanje kreativnosti</w:t>
      </w:r>
    </w:p>
    <w:p w14:paraId="794F6B5E" w14:textId="145C9801" w:rsidR="001C0CE0" w:rsidRPr="000B58C1" w:rsidRDefault="001C0CE0" w:rsidP="001C0CE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 xml:space="preserve">Redovno se sufinancira rad Gradske knjižnice i čitaonice Viktor Car Emin Opatija i Pomorskog i povijesnog muzeja Hrvatskog primorja Rijeka za rad Memorijalnog </w:t>
      </w:r>
      <w:r w:rsidR="008218A5" w:rsidRPr="000B58C1">
        <w:rPr>
          <w:rFonts w:ascii="Times New Roman" w:hAnsi="Times New Roman" w:cs="Times New Roman"/>
          <w:sz w:val="24"/>
          <w:szCs w:val="24"/>
        </w:rPr>
        <w:t>c</w:t>
      </w:r>
      <w:r w:rsidRPr="000B58C1">
        <w:rPr>
          <w:rFonts w:ascii="Times New Roman" w:hAnsi="Times New Roman" w:cs="Times New Roman"/>
          <w:sz w:val="24"/>
          <w:szCs w:val="24"/>
        </w:rPr>
        <w:t>entra Lipa</w:t>
      </w:r>
    </w:p>
    <w:p w14:paraId="74603C76" w14:textId="07D3C39D" w:rsidR="00DA5604" w:rsidRDefault="00DA5604" w:rsidP="003A6B5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604">
        <w:rPr>
          <w:rFonts w:ascii="Times New Roman" w:hAnsi="Times New Roman" w:cs="Times New Roman"/>
          <w:sz w:val="24"/>
          <w:szCs w:val="24"/>
        </w:rPr>
        <w:t>Proveden je Javni natječaj za dodjelu sredstava za financiranje programa, projekata i manifestacija koje provode udruge i druge organizacije civilnog društva u 202</w:t>
      </w:r>
      <w:r w:rsidR="00635BF7">
        <w:rPr>
          <w:rFonts w:ascii="Times New Roman" w:hAnsi="Times New Roman" w:cs="Times New Roman"/>
          <w:sz w:val="24"/>
          <w:szCs w:val="24"/>
        </w:rPr>
        <w:t>4</w:t>
      </w:r>
      <w:r w:rsidRPr="00DA5604">
        <w:rPr>
          <w:rFonts w:ascii="Times New Roman" w:hAnsi="Times New Roman" w:cs="Times New Roman"/>
          <w:sz w:val="24"/>
          <w:szCs w:val="24"/>
        </w:rPr>
        <w:t xml:space="preserve">. godini te su dodijeljena sredstva za provedbu </w:t>
      </w:r>
      <w:r w:rsidR="00635BF7">
        <w:rPr>
          <w:rFonts w:ascii="Times New Roman" w:hAnsi="Times New Roman" w:cs="Times New Roman"/>
          <w:sz w:val="24"/>
          <w:szCs w:val="24"/>
        </w:rPr>
        <w:t>49</w:t>
      </w:r>
      <w:r w:rsidRPr="00DA5604">
        <w:rPr>
          <w:rFonts w:ascii="Times New Roman" w:hAnsi="Times New Roman" w:cs="Times New Roman"/>
          <w:sz w:val="24"/>
          <w:szCs w:val="24"/>
        </w:rPr>
        <w:t xml:space="preserve"> programa, projekata i manifestacija u kulturi</w:t>
      </w:r>
    </w:p>
    <w:p w14:paraId="26750A0A" w14:textId="255B0984" w:rsidR="003A6B5D" w:rsidRPr="000B58C1" w:rsidRDefault="008218A5" w:rsidP="003A6B5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58C1">
        <w:rPr>
          <w:rFonts w:ascii="Times New Roman" w:hAnsi="Times New Roman" w:cs="Times New Roman"/>
          <w:sz w:val="24"/>
          <w:szCs w:val="24"/>
        </w:rPr>
        <w:t>Proveden</w:t>
      </w:r>
      <w:r w:rsidR="0078441D" w:rsidRPr="000B58C1">
        <w:rPr>
          <w:rFonts w:ascii="Times New Roman" w:hAnsi="Times New Roman" w:cs="Times New Roman"/>
          <w:sz w:val="24"/>
          <w:szCs w:val="24"/>
        </w:rPr>
        <w:t xml:space="preserve">o je </w:t>
      </w:r>
      <w:r w:rsidR="00635BF7">
        <w:rPr>
          <w:rFonts w:ascii="Times New Roman" w:hAnsi="Times New Roman" w:cs="Times New Roman"/>
          <w:sz w:val="24"/>
          <w:szCs w:val="24"/>
        </w:rPr>
        <w:t>5</w:t>
      </w:r>
      <w:r w:rsidRPr="000B58C1">
        <w:rPr>
          <w:rFonts w:ascii="Times New Roman" w:hAnsi="Times New Roman" w:cs="Times New Roman"/>
          <w:sz w:val="24"/>
          <w:szCs w:val="24"/>
        </w:rPr>
        <w:t xml:space="preserve"> - </w:t>
      </w:r>
      <w:r w:rsidR="00635BF7" w:rsidRPr="00635BF7">
        <w:rPr>
          <w:rFonts w:ascii="Times New Roman" w:hAnsi="Times New Roman" w:cs="Times New Roman"/>
          <w:sz w:val="24"/>
          <w:szCs w:val="24"/>
        </w:rPr>
        <w:t>Mića zvončarska smotra, Zvončarska smotra, Na Lisinu ko' nekad, Matuljske ljetne večeri i Božićna štorij</w:t>
      </w:r>
      <w:r w:rsidR="00635BF7">
        <w:rPr>
          <w:rFonts w:ascii="Times New Roman" w:hAnsi="Times New Roman" w:cs="Times New Roman"/>
          <w:sz w:val="24"/>
          <w:szCs w:val="24"/>
        </w:rPr>
        <w:t>a</w:t>
      </w:r>
    </w:p>
    <w:p w14:paraId="01D19A83" w14:textId="7BC48FEA" w:rsidR="001C0CE0" w:rsidRPr="00490550" w:rsidRDefault="001C0CE0" w:rsidP="001C0CE0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0550">
        <w:rPr>
          <w:rFonts w:ascii="Times New Roman" w:hAnsi="Times New Roman" w:cs="Times New Roman"/>
          <w:sz w:val="24"/>
          <w:szCs w:val="24"/>
        </w:rPr>
        <w:t xml:space="preserve">Redovno sufinanciranje rada </w:t>
      </w:r>
      <w:r w:rsidR="00635BF7">
        <w:rPr>
          <w:rFonts w:ascii="Times New Roman" w:hAnsi="Times New Roman" w:cs="Times New Roman"/>
          <w:sz w:val="24"/>
          <w:szCs w:val="24"/>
        </w:rPr>
        <w:t>17</w:t>
      </w:r>
      <w:r w:rsidR="00362774" w:rsidRPr="00490550">
        <w:rPr>
          <w:rFonts w:ascii="Times New Roman" w:hAnsi="Times New Roman" w:cs="Times New Roman"/>
          <w:sz w:val="24"/>
          <w:szCs w:val="24"/>
        </w:rPr>
        <w:t xml:space="preserve"> </w:t>
      </w:r>
      <w:r w:rsidRPr="00490550">
        <w:rPr>
          <w:rFonts w:ascii="Times New Roman" w:hAnsi="Times New Roman" w:cs="Times New Roman"/>
          <w:sz w:val="24"/>
          <w:szCs w:val="24"/>
        </w:rPr>
        <w:t xml:space="preserve">sportskih klubova preko Zajednice sportskih </w:t>
      </w:r>
      <w:r w:rsidR="006762EC" w:rsidRPr="00490550">
        <w:rPr>
          <w:rFonts w:ascii="Times New Roman" w:hAnsi="Times New Roman" w:cs="Times New Roman"/>
          <w:sz w:val="24"/>
          <w:szCs w:val="24"/>
        </w:rPr>
        <w:t>udruga</w:t>
      </w:r>
    </w:p>
    <w:p w14:paraId="6AB8822B" w14:textId="6EB986F3" w:rsidR="001C0CE0" w:rsidRDefault="001C0CE0" w:rsidP="00EB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167A87" w14:textId="38D88937" w:rsidR="00EB419E" w:rsidRPr="00490550" w:rsidRDefault="00EB419E" w:rsidP="00EB41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550">
        <w:rPr>
          <w:rFonts w:ascii="Times New Roman" w:hAnsi="Times New Roman" w:cs="Times New Roman"/>
          <w:b/>
          <w:sz w:val="24"/>
          <w:szCs w:val="24"/>
        </w:rPr>
        <w:t>5.5. Razvoj mikroregija aktiviranjem razvojnih potencijala</w:t>
      </w:r>
    </w:p>
    <w:p w14:paraId="3C5BF5C2" w14:textId="64D14571" w:rsidR="00DA5604" w:rsidRPr="00DF1F40" w:rsidRDefault="00DA5604" w:rsidP="00DF1F40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5604">
        <w:rPr>
          <w:rFonts w:ascii="Times New Roman" w:hAnsi="Times New Roman" w:cs="Times New Roman"/>
          <w:sz w:val="24"/>
          <w:szCs w:val="24"/>
        </w:rPr>
        <w:t xml:space="preserve">Tijekom godine održano je </w:t>
      </w:r>
      <w:r w:rsidR="00635BF7">
        <w:rPr>
          <w:rFonts w:ascii="Times New Roman" w:hAnsi="Times New Roman" w:cs="Times New Roman"/>
          <w:sz w:val="24"/>
          <w:szCs w:val="24"/>
        </w:rPr>
        <w:t>8</w:t>
      </w:r>
      <w:r w:rsidRPr="00DA5604">
        <w:rPr>
          <w:rFonts w:ascii="Times New Roman" w:hAnsi="Times New Roman" w:cs="Times New Roman"/>
          <w:sz w:val="24"/>
          <w:szCs w:val="24"/>
        </w:rPr>
        <w:t xml:space="preserve"> sjednica Općinskog vijeća.</w:t>
      </w:r>
    </w:p>
    <w:p w14:paraId="6ACCB16D" w14:textId="77777777" w:rsidR="00DF1F40" w:rsidRDefault="009E0DF4" w:rsidP="00943B1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F40">
        <w:rPr>
          <w:rFonts w:ascii="Times New Roman" w:hAnsi="Times New Roman" w:cs="Times New Roman"/>
          <w:sz w:val="24"/>
          <w:szCs w:val="24"/>
        </w:rPr>
        <w:t xml:space="preserve">Redovno </w:t>
      </w:r>
      <w:r w:rsidR="00E53842" w:rsidRPr="00DF1F40">
        <w:rPr>
          <w:rFonts w:ascii="Times New Roman" w:hAnsi="Times New Roman" w:cs="Times New Roman"/>
          <w:sz w:val="24"/>
          <w:szCs w:val="24"/>
        </w:rPr>
        <w:t>su</w:t>
      </w:r>
      <w:r w:rsidRPr="00DF1F40">
        <w:rPr>
          <w:rFonts w:ascii="Times New Roman" w:hAnsi="Times New Roman" w:cs="Times New Roman"/>
          <w:sz w:val="24"/>
          <w:szCs w:val="24"/>
        </w:rPr>
        <w:t xml:space="preserve"> isplać</w:t>
      </w:r>
      <w:r w:rsidR="00E53842" w:rsidRPr="00DF1F40">
        <w:rPr>
          <w:rFonts w:ascii="Times New Roman" w:hAnsi="Times New Roman" w:cs="Times New Roman"/>
          <w:sz w:val="24"/>
          <w:szCs w:val="24"/>
        </w:rPr>
        <w:t>ivane</w:t>
      </w:r>
      <w:r w:rsidRPr="00DF1F40">
        <w:rPr>
          <w:rFonts w:ascii="Times New Roman" w:hAnsi="Times New Roman" w:cs="Times New Roman"/>
          <w:sz w:val="24"/>
          <w:szCs w:val="24"/>
        </w:rPr>
        <w:t xml:space="preserve"> naknade za f</w:t>
      </w:r>
      <w:r w:rsidR="001C0CE0" w:rsidRPr="00DF1F40">
        <w:rPr>
          <w:rFonts w:ascii="Times New Roman" w:hAnsi="Times New Roman" w:cs="Times New Roman"/>
          <w:sz w:val="24"/>
          <w:szCs w:val="24"/>
        </w:rPr>
        <w:t>inanciranje političkih stranaka</w:t>
      </w:r>
    </w:p>
    <w:p w14:paraId="056FB3EF" w14:textId="2EAB1D34" w:rsidR="00DF1F40" w:rsidRDefault="00DF1F40" w:rsidP="00943B1B">
      <w:pPr>
        <w:pStyle w:val="Odlomakpopis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F40">
        <w:rPr>
          <w:rFonts w:ascii="Times New Roman" w:hAnsi="Times New Roman" w:cs="Times New Roman"/>
          <w:sz w:val="24"/>
          <w:szCs w:val="24"/>
        </w:rPr>
        <w:t xml:space="preserve">Redovno su provođene aktivnosti </w:t>
      </w:r>
      <w:r w:rsidR="00635BF7">
        <w:rPr>
          <w:rFonts w:ascii="Times New Roman" w:hAnsi="Times New Roman" w:cs="Times New Roman"/>
          <w:sz w:val="24"/>
          <w:szCs w:val="24"/>
        </w:rPr>
        <w:t>1</w:t>
      </w:r>
      <w:r w:rsidR="00ED25FD">
        <w:rPr>
          <w:rFonts w:ascii="Times New Roman" w:hAnsi="Times New Roman" w:cs="Times New Roman"/>
          <w:sz w:val="24"/>
          <w:szCs w:val="24"/>
        </w:rPr>
        <w:t>6</w:t>
      </w:r>
      <w:r w:rsidRPr="00DF1F40">
        <w:rPr>
          <w:rFonts w:ascii="Times New Roman" w:hAnsi="Times New Roman" w:cs="Times New Roman"/>
          <w:sz w:val="24"/>
          <w:szCs w:val="24"/>
        </w:rPr>
        <w:t xml:space="preserve"> projekata za koje su dobivena sredstava iz EU i nacionalnih</w:t>
      </w:r>
      <w:r w:rsidR="006E245C">
        <w:rPr>
          <w:rFonts w:ascii="Times New Roman" w:hAnsi="Times New Roman" w:cs="Times New Roman"/>
          <w:sz w:val="24"/>
          <w:szCs w:val="24"/>
        </w:rPr>
        <w:t xml:space="preserve"> i županijskih</w:t>
      </w:r>
      <w:r w:rsidRPr="00DF1F40">
        <w:rPr>
          <w:rFonts w:ascii="Times New Roman" w:hAnsi="Times New Roman" w:cs="Times New Roman"/>
          <w:sz w:val="24"/>
          <w:szCs w:val="24"/>
        </w:rPr>
        <w:t xml:space="preserve"> fondova</w:t>
      </w:r>
    </w:p>
    <w:p w14:paraId="3B0026C4" w14:textId="77777777" w:rsidR="005A0441" w:rsidRDefault="005A0441" w:rsidP="005A0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DFFC82" w14:textId="3989F552" w:rsidR="005A0441" w:rsidRPr="005A0441" w:rsidRDefault="005A0441" w:rsidP="005A0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Prilog 1.: </w:t>
      </w:r>
      <w:r w:rsidRPr="005A0441">
        <w:rPr>
          <w:rFonts w:ascii="Times New Roman" w:hAnsi="Times New Roman" w:cs="Times New Roman"/>
          <w:sz w:val="24"/>
          <w:szCs w:val="24"/>
        </w:rPr>
        <w:t>Tabli</w:t>
      </w:r>
      <w:r>
        <w:rPr>
          <w:rFonts w:ascii="Times New Roman" w:hAnsi="Times New Roman" w:cs="Times New Roman"/>
          <w:sz w:val="24"/>
          <w:szCs w:val="24"/>
        </w:rPr>
        <w:t>č</w:t>
      </w:r>
      <w:r w:rsidRPr="005A0441">
        <w:rPr>
          <w:rFonts w:ascii="Times New Roman" w:hAnsi="Times New Roman" w:cs="Times New Roman"/>
          <w:sz w:val="24"/>
          <w:szCs w:val="24"/>
        </w:rPr>
        <w:t xml:space="preserve">ni prikaz </w:t>
      </w:r>
      <w:r w:rsidRPr="005A0441">
        <w:rPr>
          <w:rFonts w:ascii="Times New Roman" w:hAnsi="Times New Roman" w:cs="Times New Roman"/>
          <w:sz w:val="24"/>
          <w:szCs w:val="24"/>
        </w:rPr>
        <w:t>godišnjeg</w:t>
      </w:r>
      <w:r w:rsidRPr="005A0441">
        <w:rPr>
          <w:rFonts w:ascii="Times New Roman" w:hAnsi="Times New Roman" w:cs="Times New Roman"/>
          <w:sz w:val="24"/>
          <w:szCs w:val="24"/>
        </w:rPr>
        <w:t xml:space="preserve"> </w:t>
      </w:r>
      <w:r w:rsidRPr="005A0441">
        <w:rPr>
          <w:rFonts w:ascii="Times New Roman" w:hAnsi="Times New Roman" w:cs="Times New Roman"/>
          <w:sz w:val="24"/>
          <w:szCs w:val="24"/>
        </w:rPr>
        <w:t>izvješća</w:t>
      </w:r>
      <w:r w:rsidRPr="005A0441">
        <w:rPr>
          <w:rFonts w:ascii="Times New Roman" w:hAnsi="Times New Roman" w:cs="Times New Roman"/>
          <w:sz w:val="24"/>
          <w:szCs w:val="24"/>
        </w:rPr>
        <w:t xml:space="preserve"> o provedbi provedbenog programa 2024</w:t>
      </w:r>
    </w:p>
    <w:p w14:paraId="5A674097" w14:textId="77777777" w:rsidR="00DF1F40" w:rsidRPr="00DF1F40" w:rsidRDefault="00DF1F40" w:rsidP="00DF1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561174" w14:textId="7024097D" w:rsidR="007D54F2" w:rsidRDefault="007D54F2" w:rsidP="0072244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A7290D" w14:textId="2EDEA6A0" w:rsidR="00F05535" w:rsidRDefault="00F05535" w:rsidP="0072244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5A1C8B" w14:textId="077B8656" w:rsidR="00F05535" w:rsidRPr="007B2AE7" w:rsidRDefault="00F05535" w:rsidP="00F0553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AE7">
        <w:rPr>
          <w:rFonts w:ascii="Times New Roman" w:hAnsi="Times New Roman" w:cs="Times New Roman"/>
          <w:sz w:val="24"/>
          <w:szCs w:val="24"/>
        </w:rPr>
        <w:t>OPĆINSKI NAČELNIK</w:t>
      </w:r>
    </w:p>
    <w:p w14:paraId="28DD56B4" w14:textId="3397466D" w:rsidR="00F05535" w:rsidRPr="007B2AE7" w:rsidRDefault="00F05535" w:rsidP="00F05535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2AE7">
        <w:rPr>
          <w:rFonts w:ascii="Times New Roman" w:hAnsi="Times New Roman" w:cs="Times New Roman"/>
          <w:sz w:val="24"/>
          <w:szCs w:val="24"/>
        </w:rPr>
        <w:t>Vedran Kinkela</w:t>
      </w:r>
    </w:p>
    <w:sectPr w:rsidR="00F05535" w:rsidRPr="007B2A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94026"/>
    <w:multiLevelType w:val="hybridMultilevel"/>
    <w:tmpl w:val="895ACF90"/>
    <w:lvl w:ilvl="0" w:tplc="650862EC">
      <w:start w:val="1"/>
      <w:numFmt w:val="decimal"/>
      <w:pStyle w:val="naslovnumeriranje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46A52"/>
    <w:multiLevelType w:val="hybridMultilevel"/>
    <w:tmpl w:val="40986C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43ED4"/>
    <w:multiLevelType w:val="hybridMultilevel"/>
    <w:tmpl w:val="0F30EA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C7CA8"/>
    <w:multiLevelType w:val="hybridMultilevel"/>
    <w:tmpl w:val="FAA414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BE52E2"/>
    <w:multiLevelType w:val="hybridMultilevel"/>
    <w:tmpl w:val="C144F7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9045B"/>
    <w:multiLevelType w:val="hybridMultilevel"/>
    <w:tmpl w:val="78CA7E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6551E"/>
    <w:multiLevelType w:val="hybridMultilevel"/>
    <w:tmpl w:val="6CA45E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B31C9"/>
    <w:multiLevelType w:val="hybridMultilevel"/>
    <w:tmpl w:val="652252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F320C"/>
    <w:multiLevelType w:val="hybridMultilevel"/>
    <w:tmpl w:val="719CCC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416248">
    <w:abstractNumId w:val="0"/>
  </w:num>
  <w:num w:numId="2" w16cid:durableId="1108699305">
    <w:abstractNumId w:val="4"/>
  </w:num>
  <w:num w:numId="3" w16cid:durableId="1097868477">
    <w:abstractNumId w:val="8"/>
  </w:num>
  <w:num w:numId="4" w16cid:durableId="805969097">
    <w:abstractNumId w:val="1"/>
  </w:num>
  <w:num w:numId="5" w16cid:durableId="2132626565">
    <w:abstractNumId w:val="7"/>
  </w:num>
  <w:num w:numId="6" w16cid:durableId="1328902917">
    <w:abstractNumId w:val="3"/>
  </w:num>
  <w:num w:numId="7" w16cid:durableId="1544319778">
    <w:abstractNumId w:val="5"/>
  </w:num>
  <w:num w:numId="8" w16cid:durableId="802886046">
    <w:abstractNumId w:val="6"/>
  </w:num>
  <w:num w:numId="9" w16cid:durableId="984748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311"/>
    <w:rsid w:val="00002A20"/>
    <w:rsid w:val="00036498"/>
    <w:rsid w:val="00062E84"/>
    <w:rsid w:val="00075A0E"/>
    <w:rsid w:val="00075C9B"/>
    <w:rsid w:val="00096395"/>
    <w:rsid w:val="000B58C1"/>
    <w:rsid w:val="0010464F"/>
    <w:rsid w:val="00107335"/>
    <w:rsid w:val="00111DCC"/>
    <w:rsid w:val="00120DCA"/>
    <w:rsid w:val="001268E4"/>
    <w:rsid w:val="00134EC1"/>
    <w:rsid w:val="00147EE6"/>
    <w:rsid w:val="00191815"/>
    <w:rsid w:val="001A5347"/>
    <w:rsid w:val="001C0CE0"/>
    <w:rsid w:val="001D0EDD"/>
    <w:rsid w:val="002072FC"/>
    <w:rsid w:val="002103EF"/>
    <w:rsid w:val="0022075F"/>
    <w:rsid w:val="00221BBC"/>
    <w:rsid w:val="002848A8"/>
    <w:rsid w:val="00287474"/>
    <w:rsid w:val="002B4365"/>
    <w:rsid w:val="002D4732"/>
    <w:rsid w:val="002D71E5"/>
    <w:rsid w:val="00331BF0"/>
    <w:rsid w:val="00334011"/>
    <w:rsid w:val="00345D23"/>
    <w:rsid w:val="003504C8"/>
    <w:rsid w:val="0035495E"/>
    <w:rsid w:val="00360AFE"/>
    <w:rsid w:val="00362774"/>
    <w:rsid w:val="00363612"/>
    <w:rsid w:val="00364B5A"/>
    <w:rsid w:val="003A5A76"/>
    <w:rsid w:val="003A6B5D"/>
    <w:rsid w:val="003B158D"/>
    <w:rsid w:val="003B2DA5"/>
    <w:rsid w:val="003C5FBD"/>
    <w:rsid w:val="003D0161"/>
    <w:rsid w:val="003E77E7"/>
    <w:rsid w:val="004106EC"/>
    <w:rsid w:val="00411E98"/>
    <w:rsid w:val="00427604"/>
    <w:rsid w:val="00434018"/>
    <w:rsid w:val="00434C05"/>
    <w:rsid w:val="00435055"/>
    <w:rsid w:val="00460C13"/>
    <w:rsid w:val="004725A5"/>
    <w:rsid w:val="00486C0D"/>
    <w:rsid w:val="00490550"/>
    <w:rsid w:val="004A54F3"/>
    <w:rsid w:val="004B2D11"/>
    <w:rsid w:val="004C260D"/>
    <w:rsid w:val="004D6AB7"/>
    <w:rsid w:val="004E53F0"/>
    <w:rsid w:val="004F7FCD"/>
    <w:rsid w:val="00527F3A"/>
    <w:rsid w:val="00546D0E"/>
    <w:rsid w:val="00576555"/>
    <w:rsid w:val="005818C8"/>
    <w:rsid w:val="0058368C"/>
    <w:rsid w:val="005917BD"/>
    <w:rsid w:val="005A0441"/>
    <w:rsid w:val="005C6BE3"/>
    <w:rsid w:val="005D2CD5"/>
    <w:rsid w:val="0060601C"/>
    <w:rsid w:val="0063241E"/>
    <w:rsid w:val="00634DA3"/>
    <w:rsid w:val="006358EA"/>
    <w:rsid w:val="006359EF"/>
    <w:rsid w:val="00635BF7"/>
    <w:rsid w:val="00657393"/>
    <w:rsid w:val="00657FD2"/>
    <w:rsid w:val="006705B7"/>
    <w:rsid w:val="006762EC"/>
    <w:rsid w:val="0068002B"/>
    <w:rsid w:val="00687A54"/>
    <w:rsid w:val="00694624"/>
    <w:rsid w:val="006951A9"/>
    <w:rsid w:val="00696076"/>
    <w:rsid w:val="006C1431"/>
    <w:rsid w:val="006C3073"/>
    <w:rsid w:val="006D66F2"/>
    <w:rsid w:val="006D7122"/>
    <w:rsid w:val="006D74EB"/>
    <w:rsid w:val="006E245C"/>
    <w:rsid w:val="006E5624"/>
    <w:rsid w:val="006F0781"/>
    <w:rsid w:val="006F5A85"/>
    <w:rsid w:val="00710EBE"/>
    <w:rsid w:val="0071595B"/>
    <w:rsid w:val="00715C79"/>
    <w:rsid w:val="0072244F"/>
    <w:rsid w:val="00727129"/>
    <w:rsid w:val="00744088"/>
    <w:rsid w:val="007474C5"/>
    <w:rsid w:val="00762311"/>
    <w:rsid w:val="007645AD"/>
    <w:rsid w:val="007751C0"/>
    <w:rsid w:val="00780146"/>
    <w:rsid w:val="00780274"/>
    <w:rsid w:val="00783827"/>
    <w:rsid w:val="0078441D"/>
    <w:rsid w:val="007947A8"/>
    <w:rsid w:val="007A3832"/>
    <w:rsid w:val="007B1F91"/>
    <w:rsid w:val="007B2AE7"/>
    <w:rsid w:val="007B512F"/>
    <w:rsid w:val="007C01C7"/>
    <w:rsid w:val="007C33C9"/>
    <w:rsid w:val="007D54F2"/>
    <w:rsid w:val="007F4215"/>
    <w:rsid w:val="00804B0F"/>
    <w:rsid w:val="00814881"/>
    <w:rsid w:val="008218A5"/>
    <w:rsid w:val="00826844"/>
    <w:rsid w:val="008412CE"/>
    <w:rsid w:val="00861BFD"/>
    <w:rsid w:val="00871979"/>
    <w:rsid w:val="0088053C"/>
    <w:rsid w:val="00883DA4"/>
    <w:rsid w:val="008A4089"/>
    <w:rsid w:val="008C1ECA"/>
    <w:rsid w:val="008C4DC1"/>
    <w:rsid w:val="008F29F1"/>
    <w:rsid w:val="00903E14"/>
    <w:rsid w:val="00905EA4"/>
    <w:rsid w:val="0091645E"/>
    <w:rsid w:val="0092336A"/>
    <w:rsid w:val="00923445"/>
    <w:rsid w:val="00925B0C"/>
    <w:rsid w:val="00941026"/>
    <w:rsid w:val="00956710"/>
    <w:rsid w:val="00957DCF"/>
    <w:rsid w:val="00962C8A"/>
    <w:rsid w:val="009979AB"/>
    <w:rsid w:val="009A76D4"/>
    <w:rsid w:val="009A77A7"/>
    <w:rsid w:val="009C0CBD"/>
    <w:rsid w:val="009C3471"/>
    <w:rsid w:val="009D4845"/>
    <w:rsid w:val="009E0DF4"/>
    <w:rsid w:val="009F6B79"/>
    <w:rsid w:val="00A0233B"/>
    <w:rsid w:val="00A138B7"/>
    <w:rsid w:val="00A21910"/>
    <w:rsid w:val="00A27229"/>
    <w:rsid w:val="00A278E7"/>
    <w:rsid w:val="00A51045"/>
    <w:rsid w:val="00A54683"/>
    <w:rsid w:val="00A54E6B"/>
    <w:rsid w:val="00A83143"/>
    <w:rsid w:val="00A9086A"/>
    <w:rsid w:val="00A97591"/>
    <w:rsid w:val="00AB3EB1"/>
    <w:rsid w:val="00AB6F98"/>
    <w:rsid w:val="00AC242F"/>
    <w:rsid w:val="00AD4228"/>
    <w:rsid w:val="00AF3675"/>
    <w:rsid w:val="00B006F1"/>
    <w:rsid w:val="00B02CE8"/>
    <w:rsid w:val="00B03EFE"/>
    <w:rsid w:val="00B166C0"/>
    <w:rsid w:val="00B36BD4"/>
    <w:rsid w:val="00B4771F"/>
    <w:rsid w:val="00B535EE"/>
    <w:rsid w:val="00B605A8"/>
    <w:rsid w:val="00B95E6A"/>
    <w:rsid w:val="00BC66B1"/>
    <w:rsid w:val="00C15B4F"/>
    <w:rsid w:val="00C20724"/>
    <w:rsid w:val="00C4287A"/>
    <w:rsid w:val="00C44006"/>
    <w:rsid w:val="00C46C94"/>
    <w:rsid w:val="00CA1B91"/>
    <w:rsid w:val="00CD2F9C"/>
    <w:rsid w:val="00CF3F51"/>
    <w:rsid w:val="00D13235"/>
    <w:rsid w:val="00D1431C"/>
    <w:rsid w:val="00D1532D"/>
    <w:rsid w:val="00D36B3E"/>
    <w:rsid w:val="00D41BBE"/>
    <w:rsid w:val="00D461F1"/>
    <w:rsid w:val="00D51A55"/>
    <w:rsid w:val="00D51D6A"/>
    <w:rsid w:val="00D64D1B"/>
    <w:rsid w:val="00D70713"/>
    <w:rsid w:val="00D72575"/>
    <w:rsid w:val="00D73861"/>
    <w:rsid w:val="00D819D0"/>
    <w:rsid w:val="00D82704"/>
    <w:rsid w:val="00D83CA5"/>
    <w:rsid w:val="00D86AAD"/>
    <w:rsid w:val="00DA183E"/>
    <w:rsid w:val="00DA5604"/>
    <w:rsid w:val="00DB497A"/>
    <w:rsid w:val="00DC38E1"/>
    <w:rsid w:val="00DC708D"/>
    <w:rsid w:val="00DD1E8C"/>
    <w:rsid w:val="00DE4B77"/>
    <w:rsid w:val="00DE61C7"/>
    <w:rsid w:val="00DF1F40"/>
    <w:rsid w:val="00DF2140"/>
    <w:rsid w:val="00DF36CE"/>
    <w:rsid w:val="00E01839"/>
    <w:rsid w:val="00E05D8B"/>
    <w:rsid w:val="00E126D8"/>
    <w:rsid w:val="00E21605"/>
    <w:rsid w:val="00E23796"/>
    <w:rsid w:val="00E316D0"/>
    <w:rsid w:val="00E43566"/>
    <w:rsid w:val="00E53842"/>
    <w:rsid w:val="00E642DD"/>
    <w:rsid w:val="00E70965"/>
    <w:rsid w:val="00E86825"/>
    <w:rsid w:val="00E91F63"/>
    <w:rsid w:val="00E952AE"/>
    <w:rsid w:val="00EA211B"/>
    <w:rsid w:val="00EB419E"/>
    <w:rsid w:val="00EC264D"/>
    <w:rsid w:val="00ED25FD"/>
    <w:rsid w:val="00EE386B"/>
    <w:rsid w:val="00EF70CB"/>
    <w:rsid w:val="00EF7C60"/>
    <w:rsid w:val="00EF7D72"/>
    <w:rsid w:val="00F05535"/>
    <w:rsid w:val="00F07227"/>
    <w:rsid w:val="00F1573F"/>
    <w:rsid w:val="00F26394"/>
    <w:rsid w:val="00F35261"/>
    <w:rsid w:val="00F45B08"/>
    <w:rsid w:val="00F57C69"/>
    <w:rsid w:val="00F6415B"/>
    <w:rsid w:val="00F914FC"/>
    <w:rsid w:val="00FA02DB"/>
    <w:rsid w:val="00FB0BA8"/>
    <w:rsid w:val="00FB236D"/>
    <w:rsid w:val="00FC11A9"/>
    <w:rsid w:val="00FC47DA"/>
    <w:rsid w:val="00FC61F2"/>
    <w:rsid w:val="00FF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64F7C"/>
  <w15:docId w15:val="{07BE18EC-22EE-4AC9-A6F9-E74C7CFF9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3B2D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B2D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link w:val="OdlomakpopisaChar"/>
    <w:uiPriority w:val="34"/>
    <w:qFormat/>
    <w:rsid w:val="00FC11A9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B006F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006F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006F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006F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006F1"/>
    <w:rPr>
      <w:b/>
      <w:bCs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88053C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88053C"/>
    <w:rPr>
      <w:color w:val="605E5C"/>
      <w:shd w:val="clear" w:color="auto" w:fill="E1DFDD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E5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E5624"/>
    <w:rPr>
      <w:rFonts w:ascii="Tahoma" w:hAnsi="Tahoma" w:cs="Tahoma"/>
      <w:sz w:val="16"/>
      <w:szCs w:val="16"/>
    </w:rPr>
  </w:style>
  <w:style w:type="paragraph" w:customStyle="1" w:styleId="naslovnumeriranje">
    <w:name w:val="naslov numeriranje"/>
    <w:basedOn w:val="Odlomakpopisa"/>
    <w:link w:val="naslovnumeriranjeChar"/>
    <w:rsid w:val="006E5624"/>
    <w:pPr>
      <w:numPr>
        <w:numId w:val="1"/>
      </w:numPr>
    </w:pPr>
    <w:rPr>
      <w:rFonts w:ascii="Times New Roman" w:hAnsi="Times New Roman" w:cs="Times New Roman"/>
      <w:sz w:val="28"/>
      <w:szCs w:val="28"/>
    </w:rPr>
  </w:style>
  <w:style w:type="character" w:customStyle="1" w:styleId="Naslov1Char">
    <w:name w:val="Naslov 1 Char"/>
    <w:basedOn w:val="Zadanifontodlomka"/>
    <w:link w:val="Naslov1"/>
    <w:uiPriority w:val="9"/>
    <w:rsid w:val="003B2DA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6E5624"/>
  </w:style>
  <w:style w:type="character" w:customStyle="1" w:styleId="naslovnumeriranjeChar">
    <w:name w:val="naslov numeriranje Char"/>
    <w:basedOn w:val="OdlomakpopisaChar"/>
    <w:link w:val="naslovnumeriranje"/>
    <w:rsid w:val="006E5624"/>
    <w:rPr>
      <w:rFonts w:ascii="Times New Roman" w:hAnsi="Times New Roman" w:cs="Times New Roman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3B2DA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styleId="Reetkatablice">
    <w:name w:val="Table Grid"/>
    <w:basedOn w:val="Obinatablica"/>
    <w:uiPriority w:val="39"/>
    <w:rsid w:val="00715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340E3-79DD-4892-8D36-6465019BD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10</Pages>
  <Words>3178</Words>
  <Characters>18117</Characters>
  <Application>Microsoft Office Word</Application>
  <DocSecurity>2</DocSecurity>
  <Lines>150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Brumnjak</dc:creator>
  <cp:keywords/>
  <dc:description/>
  <cp:lastModifiedBy>Andrea Brumnjak</cp:lastModifiedBy>
  <cp:revision>18</cp:revision>
  <dcterms:created xsi:type="dcterms:W3CDTF">2024-02-14T14:23:00Z</dcterms:created>
  <dcterms:modified xsi:type="dcterms:W3CDTF">2025-02-14T08:15:00Z</dcterms:modified>
  <cp:contentStatus/>
</cp:coreProperties>
</file>