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3050E5" w14:paraId="0F4BD3FA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599B1626" w14:textId="77777777" w:rsidR="00CC2E86" w:rsidRPr="003050E5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3050E5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eastAsia="zh-CN"/>
              </w:rPr>
              <w:object w:dxaOrig="616" w:dyaOrig="706" w14:anchorId="0F4EE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733054293" r:id="rId6"/>
              </w:object>
            </w:r>
          </w:p>
          <w:p w14:paraId="2DADA153" w14:textId="77777777" w:rsidR="00CC2E86" w:rsidRPr="003050E5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3050E5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7912A7BE" w14:textId="77777777" w:rsidR="00CC2E86" w:rsidRPr="003050E5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3050E5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5BBA25DF" w14:textId="77777777" w:rsidR="00CC2E86" w:rsidRPr="003050E5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3050E5" w14:paraId="2A1CF8D5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6B0FC9E0" w14:textId="77777777" w:rsidR="00CC2E86" w:rsidRPr="003050E5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3050E5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605D569B" wp14:editId="77D0725D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57C08F15" w14:textId="77777777" w:rsidR="001F28B9" w:rsidRPr="003050E5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3050E5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113E0A73" w14:textId="77777777" w:rsidR="00CC2E86" w:rsidRPr="003050E5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3050E5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  <w:p w14:paraId="14238DE2" w14:textId="77777777" w:rsidR="00251E48" w:rsidRPr="003050E5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  <w:p w14:paraId="3306E21B" w14:textId="77777777" w:rsidR="00251E48" w:rsidRPr="003050E5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27"/>
      </w:tblGrid>
      <w:tr w:rsidR="00251E48" w:rsidRPr="003050E5" w14:paraId="1729302A" w14:textId="77777777" w:rsidTr="00251E48">
        <w:tc>
          <w:tcPr>
            <w:tcW w:w="4827" w:type="dxa"/>
            <w:shd w:val="clear" w:color="auto" w:fill="auto"/>
          </w:tcPr>
          <w:p w14:paraId="53AE8A70" w14:textId="77777777" w:rsidR="003F53D8" w:rsidRDefault="008E07AD" w:rsidP="008E07AD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50E5">
              <w:rPr>
                <w:color w:val="000000"/>
              </w:rPr>
              <w:t xml:space="preserve">KLASA: </w:t>
            </w:r>
            <w:r w:rsidR="003F53D8" w:rsidRPr="003F53D8">
              <w:rPr>
                <w:color w:val="000000"/>
              </w:rPr>
              <w:t>400-01/22-01/0002</w:t>
            </w:r>
          </w:p>
          <w:p w14:paraId="26DDF5C2" w14:textId="36EB60DC" w:rsidR="008E07AD" w:rsidRPr="003050E5" w:rsidRDefault="008E07AD" w:rsidP="008E07AD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50E5">
              <w:rPr>
                <w:color w:val="000000"/>
              </w:rPr>
              <w:t xml:space="preserve">URBROJ: </w:t>
            </w:r>
            <w:r w:rsidR="003F53D8" w:rsidRPr="003F53D8">
              <w:rPr>
                <w:color w:val="000000"/>
              </w:rPr>
              <w:t>2170-27-0</w:t>
            </w:r>
            <w:r w:rsidR="00FD4D35">
              <w:rPr>
                <w:color w:val="000000"/>
              </w:rPr>
              <w:t>3-03/</w:t>
            </w:r>
            <w:r w:rsidR="003F53D8" w:rsidRPr="003F53D8">
              <w:rPr>
                <w:color w:val="000000"/>
              </w:rPr>
              <w:t>1-22-000</w:t>
            </w:r>
            <w:r w:rsidR="000D2277">
              <w:rPr>
                <w:color w:val="000000"/>
              </w:rPr>
              <w:t>9</w:t>
            </w:r>
          </w:p>
          <w:p w14:paraId="5330ED0D" w14:textId="1CB20B9A" w:rsidR="001A02CA" w:rsidRPr="003050E5" w:rsidRDefault="001A02CA" w:rsidP="008E07AD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50E5">
              <w:rPr>
                <w:color w:val="000000"/>
              </w:rPr>
              <w:t xml:space="preserve">Matulji, </w:t>
            </w:r>
            <w:r w:rsidR="003A6FA8" w:rsidRPr="003050E5">
              <w:rPr>
                <w:color w:val="000000"/>
              </w:rPr>
              <w:t>20</w:t>
            </w:r>
            <w:r w:rsidRPr="003050E5">
              <w:rPr>
                <w:color w:val="000000"/>
              </w:rPr>
              <w:t>.1</w:t>
            </w:r>
            <w:r w:rsidR="008E07AD" w:rsidRPr="003050E5">
              <w:rPr>
                <w:color w:val="000000"/>
              </w:rPr>
              <w:t>2</w:t>
            </w:r>
            <w:r w:rsidRPr="003050E5">
              <w:rPr>
                <w:color w:val="000000"/>
              </w:rPr>
              <w:t>.202</w:t>
            </w:r>
            <w:r w:rsidR="003A6FA8" w:rsidRPr="003050E5">
              <w:rPr>
                <w:color w:val="000000"/>
              </w:rPr>
              <w:t>2.</w:t>
            </w:r>
            <w:r w:rsidRPr="003050E5">
              <w:rPr>
                <w:color w:val="000000"/>
              </w:rPr>
              <w:t xml:space="preserve"> godine</w:t>
            </w:r>
          </w:p>
          <w:p w14:paraId="7573C1EC" w14:textId="77777777" w:rsidR="008E07AD" w:rsidRPr="003050E5" w:rsidRDefault="008E07AD" w:rsidP="008E07AD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482C0BF" w14:textId="77777777" w:rsidR="00251E48" w:rsidRPr="003050E5" w:rsidRDefault="00251E48" w:rsidP="00251E48">
            <w:pPr>
              <w:widowControl w:val="0"/>
              <w:suppressAutoHyphens/>
              <w:spacing w:after="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2296765" w14:textId="6737BA27" w:rsidR="003E1DCD" w:rsidRPr="003050E5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0E5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114"/>
        <w:gridCol w:w="4252"/>
        <w:gridCol w:w="3374"/>
      </w:tblGrid>
      <w:tr w:rsidR="0003470C" w:rsidRPr="003050E5" w14:paraId="313C9167" w14:textId="77777777" w:rsidTr="00302466">
        <w:trPr>
          <w:trHeight w:val="789"/>
        </w:trPr>
        <w:tc>
          <w:tcPr>
            <w:tcW w:w="3114" w:type="dxa"/>
            <w:vAlign w:val="center"/>
          </w:tcPr>
          <w:p w14:paraId="297040A5" w14:textId="5AA1557B" w:rsidR="0003470C" w:rsidRPr="003050E5" w:rsidRDefault="0003470C" w:rsidP="0003470C">
            <w:pPr>
              <w:jc w:val="center"/>
              <w:rPr>
                <w:b/>
                <w:bCs/>
              </w:rPr>
            </w:pPr>
            <w:bookmarkStart w:id="0" w:name="_Hlk122441528"/>
            <w:r w:rsidRPr="003050E5">
              <w:rPr>
                <w:b/>
                <w:bCs/>
              </w:rPr>
              <w:t>NAZIV AKTA /</w:t>
            </w:r>
            <w:r w:rsidR="002A579E" w:rsidRPr="003050E5">
              <w:rPr>
                <w:b/>
                <w:bCs/>
              </w:rPr>
              <w:t xml:space="preserve"> </w:t>
            </w:r>
            <w:r w:rsidRPr="003050E5">
              <w:rPr>
                <w:b/>
                <w:bCs/>
              </w:rPr>
              <w:t>TEME SAVJETOVANJA</w:t>
            </w:r>
          </w:p>
        </w:tc>
        <w:tc>
          <w:tcPr>
            <w:tcW w:w="7626" w:type="dxa"/>
            <w:gridSpan w:val="2"/>
            <w:vAlign w:val="center"/>
          </w:tcPr>
          <w:p w14:paraId="526CC133" w14:textId="72AEA566" w:rsidR="0003470C" w:rsidRPr="003050E5" w:rsidRDefault="002A579E" w:rsidP="003A6FA8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PRIJEDLOG </w:t>
            </w:r>
            <w:r w:rsidR="00552E82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PRORAČUN</w:t>
            </w:r>
            <w:r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="00552E82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OPĆINE MATULJI ZA 202</w:t>
            </w:r>
            <w:r w:rsidR="003A6FA8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552E82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52E82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</w:t>
            </w:r>
            <w:r w:rsidR="00070F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="00552E82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NU I PROJEKCIJE ZA 202</w:t>
            </w:r>
            <w:r w:rsidR="003A6FA8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552E82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I 202</w:t>
            </w:r>
            <w:r w:rsidR="003A6FA8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552E82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52E82" w:rsidRPr="003050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GODINU</w:t>
            </w:r>
          </w:p>
        </w:tc>
      </w:tr>
      <w:bookmarkEnd w:id="0"/>
      <w:tr w:rsidR="0003470C" w:rsidRPr="003050E5" w14:paraId="6708BFE1" w14:textId="77777777" w:rsidTr="00302466">
        <w:trPr>
          <w:trHeight w:val="1380"/>
        </w:trPr>
        <w:tc>
          <w:tcPr>
            <w:tcW w:w="3114" w:type="dxa"/>
            <w:vAlign w:val="center"/>
          </w:tcPr>
          <w:p w14:paraId="6E998B70" w14:textId="77777777" w:rsidR="008E07AD" w:rsidRPr="003050E5" w:rsidRDefault="0003470C" w:rsidP="0003470C">
            <w:pPr>
              <w:jc w:val="center"/>
              <w:rPr>
                <w:b/>
                <w:bCs/>
              </w:rPr>
            </w:pPr>
            <w:r w:rsidRPr="003050E5">
              <w:rPr>
                <w:b/>
                <w:bCs/>
              </w:rPr>
              <w:t>TRAJANJ</w:t>
            </w:r>
            <w:r w:rsidR="008E07AD" w:rsidRPr="003050E5">
              <w:rPr>
                <w:b/>
                <w:bCs/>
              </w:rPr>
              <w:t>E</w:t>
            </w:r>
          </w:p>
          <w:p w14:paraId="7BA2E804" w14:textId="6FC834AC" w:rsidR="0003470C" w:rsidRPr="003050E5" w:rsidRDefault="0003470C" w:rsidP="0003470C">
            <w:pPr>
              <w:jc w:val="center"/>
              <w:rPr>
                <w:b/>
                <w:bCs/>
              </w:rPr>
            </w:pPr>
            <w:r w:rsidRPr="003050E5">
              <w:rPr>
                <w:b/>
                <w:bCs/>
              </w:rPr>
              <w:t>SAVJETOVANJA</w:t>
            </w:r>
          </w:p>
        </w:tc>
        <w:tc>
          <w:tcPr>
            <w:tcW w:w="7626" w:type="dxa"/>
            <w:gridSpan w:val="2"/>
            <w:vAlign w:val="center"/>
          </w:tcPr>
          <w:p w14:paraId="1A9253FE" w14:textId="2EDEE4AE" w:rsidR="002A579E" w:rsidRPr="003050E5" w:rsidRDefault="003A6FA8" w:rsidP="002A579E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sz w:val="22"/>
                <w:szCs w:val="22"/>
                <w:lang w:val="hr-HR"/>
              </w:rPr>
            </w:pPr>
            <w:r w:rsidRPr="003050E5">
              <w:rPr>
                <w:b w:val="0"/>
                <w:bCs w:val="0"/>
                <w:sz w:val="22"/>
                <w:szCs w:val="22"/>
                <w:lang w:val="hr-HR"/>
              </w:rPr>
              <w:t>S</w:t>
            </w:r>
            <w:r w:rsidR="0003470C" w:rsidRPr="003050E5">
              <w:rPr>
                <w:b w:val="0"/>
                <w:bCs w:val="0"/>
                <w:sz w:val="22"/>
                <w:szCs w:val="22"/>
                <w:lang w:val="hr-HR"/>
              </w:rPr>
              <w:t xml:space="preserve">avjetovanje </w:t>
            </w:r>
            <w:r w:rsidR="001A02CA" w:rsidRPr="003050E5">
              <w:rPr>
                <w:b w:val="0"/>
                <w:bCs w:val="0"/>
                <w:sz w:val="22"/>
                <w:szCs w:val="22"/>
                <w:lang w:val="hr-HR"/>
              </w:rPr>
              <w:t xml:space="preserve">otvoreno je </w:t>
            </w:r>
            <w:r w:rsidR="0003470C" w:rsidRPr="003050E5">
              <w:rPr>
                <w:b w:val="0"/>
                <w:bCs w:val="0"/>
                <w:sz w:val="22"/>
                <w:szCs w:val="22"/>
                <w:lang w:val="hr-HR"/>
              </w:rPr>
              <w:t xml:space="preserve">dana </w:t>
            </w:r>
            <w:r w:rsidRPr="003050E5">
              <w:rPr>
                <w:b w:val="0"/>
                <w:bCs w:val="0"/>
                <w:sz w:val="22"/>
                <w:szCs w:val="22"/>
                <w:lang w:val="hr-HR"/>
              </w:rPr>
              <w:t>2</w:t>
            </w:r>
            <w:r w:rsidR="0003470C" w:rsidRPr="003050E5">
              <w:rPr>
                <w:b w:val="0"/>
                <w:bCs w:val="0"/>
                <w:sz w:val="22"/>
                <w:szCs w:val="22"/>
                <w:lang w:val="hr-HR"/>
              </w:rPr>
              <w:t>.</w:t>
            </w:r>
            <w:r w:rsidR="002A579E" w:rsidRPr="003050E5">
              <w:rPr>
                <w:b w:val="0"/>
                <w:bCs w:val="0"/>
                <w:sz w:val="22"/>
                <w:szCs w:val="22"/>
                <w:lang w:val="hr-HR"/>
              </w:rPr>
              <w:t xml:space="preserve"> </w:t>
            </w:r>
            <w:r w:rsidRPr="003050E5">
              <w:rPr>
                <w:b w:val="0"/>
                <w:bCs w:val="0"/>
                <w:sz w:val="22"/>
                <w:szCs w:val="22"/>
                <w:lang w:val="hr-HR"/>
              </w:rPr>
              <w:t>prosinca</w:t>
            </w:r>
            <w:r w:rsidR="0003470C" w:rsidRPr="003050E5">
              <w:rPr>
                <w:b w:val="0"/>
                <w:bCs w:val="0"/>
                <w:sz w:val="22"/>
                <w:szCs w:val="22"/>
                <w:lang w:val="hr-HR"/>
              </w:rPr>
              <w:t xml:space="preserve"> 2</w:t>
            </w:r>
            <w:r w:rsidR="002A579E" w:rsidRPr="003050E5">
              <w:rPr>
                <w:b w:val="0"/>
                <w:bCs w:val="0"/>
                <w:sz w:val="22"/>
                <w:szCs w:val="22"/>
                <w:lang w:val="hr-HR"/>
              </w:rPr>
              <w:t>02</w:t>
            </w:r>
            <w:r w:rsidRPr="003050E5">
              <w:rPr>
                <w:b w:val="0"/>
                <w:bCs w:val="0"/>
                <w:sz w:val="22"/>
                <w:szCs w:val="22"/>
                <w:lang w:val="hr-HR"/>
              </w:rPr>
              <w:t>2</w:t>
            </w:r>
            <w:r w:rsidR="0003470C" w:rsidRPr="003050E5">
              <w:rPr>
                <w:b w:val="0"/>
                <w:bCs w:val="0"/>
                <w:sz w:val="22"/>
                <w:szCs w:val="22"/>
                <w:lang w:val="hr-HR"/>
              </w:rPr>
              <w:t>.</w:t>
            </w:r>
            <w:r w:rsidR="002A579E" w:rsidRPr="003050E5">
              <w:rPr>
                <w:b w:val="0"/>
                <w:bCs w:val="0"/>
                <w:sz w:val="22"/>
                <w:szCs w:val="22"/>
                <w:lang w:val="hr-HR"/>
              </w:rPr>
              <w:t xml:space="preserve"> godine</w:t>
            </w:r>
            <w:r w:rsidR="001A02CA" w:rsidRPr="003050E5">
              <w:rPr>
                <w:b w:val="0"/>
                <w:bCs w:val="0"/>
                <w:sz w:val="22"/>
                <w:szCs w:val="22"/>
                <w:lang w:val="hr-HR"/>
              </w:rPr>
              <w:t xml:space="preserve"> i trajalo je </w:t>
            </w:r>
            <w:r w:rsidR="002A579E" w:rsidRPr="003050E5">
              <w:rPr>
                <w:b w:val="0"/>
                <w:bCs w:val="0"/>
                <w:sz w:val="22"/>
                <w:szCs w:val="22"/>
                <w:lang w:val="hr-HR"/>
              </w:rPr>
              <w:t>do 1</w:t>
            </w:r>
            <w:r w:rsidRPr="003050E5">
              <w:rPr>
                <w:b w:val="0"/>
                <w:bCs w:val="0"/>
                <w:sz w:val="22"/>
                <w:szCs w:val="22"/>
                <w:lang w:val="hr-HR"/>
              </w:rPr>
              <w:t>9</w:t>
            </w:r>
            <w:r w:rsidR="002A579E" w:rsidRPr="003050E5">
              <w:rPr>
                <w:b w:val="0"/>
                <w:bCs w:val="0"/>
                <w:sz w:val="22"/>
                <w:szCs w:val="22"/>
                <w:lang w:val="hr-HR"/>
              </w:rPr>
              <w:t>.</w:t>
            </w:r>
            <w:r w:rsidR="001A02CA" w:rsidRPr="003050E5">
              <w:rPr>
                <w:b w:val="0"/>
                <w:bCs w:val="0"/>
                <w:sz w:val="22"/>
                <w:szCs w:val="22"/>
                <w:lang w:val="hr-HR"/>
              </w:rPr>
              <w:t xml:space="preserve"> </w:t>
            </w:r>
            <w:r w:rsidR="002A579E" w:rsidRPr="003050E5">
              <w:rPr>
                <w:b w:val="0"/>
                <w:bCs w:val="0"/>
                <w:sz w:val="22"/>
                <w:szCs w:val="22"/>
                <w:lang w:val="hr-HR"/>
              </w:rPr>
              <w:t>prosinca 202</w:t>
            </w:r>
            <w:r w:rsidRPr="003050E5">
              <w:rPr>
                <w:b w:val="0"/>
                <w:bCs w:val="0"/>
                <w:sz w:val="22"/>
                <w:szCs w:val="22"/>
                <w:lang w:val="hr-HR"/>
              </w:rPr>
              <w:t>2</w:t>
            </w:r>
            <w:r w:rsidR="002A579E" w:rsidRPr="003050E5">
              <w:rPr>
                <w:b w:val="0"/>
                <w:bCs w:val="0"/>
                <w:sz w:val="22"/>
                <w:szCs w:val="22"/>
                <w:lang w:val="hr-HR"/>
              </w:rPr>
              <w:t>. godine.</w:t>
            </w:r>
          </w:p>
          <w:p w14:paraId="4F541079" w14:textId="0F716A42" w:rsidR="0003470C" w:rsidRPr="003050E5" w:rsidRDefault="008E07AD" w:rsidP="002A579E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  <w:sz w:val="22"/>
                <w:szCs w:val="22"/>
              </w:rPr>
            </w:pPr>
            <w:r w:rsidRPr="003050E5">
              <w:rPr>
                <w:sz w:val="22"/>
                <w:szCs w:val="22"/>
              </w:rPr>
              <w:t xml:space="preserve">Sudionici u javnom savjetovanju mogli su svoje prijedloge </w:t>
            </w:r>
            <w:r w:rsidRPr="003050E5">
              <w:rPr>
                <w:rStyle w:val="Naglaeno"/>
                <w:b w:val="0"/>
                <w:bCs w:val="0"/>
                <w:sz w:val="22"/>
                <w:szCs w:val="22"/>
              </w:rPr>
              <w:t>i/ili sugestije dostaviti o</w:t>
            </w:r>
            <w:r w:rsidRPr="003050E5">
              <w:rPr>
                <w:rStyle w:val="Naglaeno"/>
                <w:b w:val="0"/>
                <w:bCs w:val="0"/>
              </w:rPr>
              <w:t xml:space="preserve">sobno ili </w:t>
            </w:r>
            <w:r w:rsidRPr="003050E5">
              <w:rPr>
                <w:sz w:val="22"/>
                <w:szCs w:val="22"/>
              </w:rPr>
              <w:t>poštom na adresu Općina Matulji, Trg Maršala Tita 11, Matulji ili elektroničkom poštom na adresu: općina.matulji@matulji.hr</w:t>
            </w:r>
          </w:p>
        </w:tc>
      </w:tr>
      <w:tr w:rsidR="001A02CA" w:rsidRPr="003050E5" w14:paraId="45AA676E" w14:textId="77777777" w:rsidTr="00302466">
        <w:tc>
          <w:tcPr>
            <w:tcW w:w="3114" w:type="dxa"/>
            <w:vAlign w:val="center"/>
          </w:tcPr>
          <w:p w14:paraId="781678C9" w14:textId="005930FD" w:rsidR="001A02CA" w:rsidRPr="003050E5" w:rsidRDefault="001A02CA" w:rsidP="003E1261">
            <w:pPr>
              <w:jc w:val="center"/>
              <w:rPr>
                <w:b/>
              </w:rPr>
            </w:pPr>
            <w:r w:rsidRPr="003050E5">
              <w:rPr>
                <w:b/>
              </w:rPr>
              <w:t xml:space="preserve">NAZIV </w:t>
            </w:r>
            <w:r w:rsidR="008E07AD" w:rsidRPr="003050E5">
              <w:rPr>
                <w:b/>
              </w:rPr>
              <w:t>UČESNIKA</w:t>
            </w:r>
          </w:p>
        </w:tc>
        <w:tc>
          <w:tcPr>
            <w:tcW w:w="4252" w:type="dxa"/>
            <w:vAlign w:val="center"/>
          </w:tcPr>
          <w:p w14:paraId="1124BB59" w14:textId="35CD8DFF" w:rsidR="001A02CA" w:rsidRPr="003050E5" w:rsidRDefault="001A02CA" w:rsidP="003E1261">
            <w:pPr>
              <w:jc w:val="center"/>
              <w:rPr>
                <w:b/>
              </w:rPr>
            </w:pPr>
            <w:r w:rsidRPr="003050E5">
              <w:rPr>
                <w:b/>
              </w:rPr>
              <w:t>PRIJEDLOG</w:t>
            </w:r>
          </w:p>
        </w:tc>
        <w:tc>
          <w:tcPr>
            <w:tcW w:w="3374" w:type="dxa"/>
            <w:vAlign w:val="center"/>
          </w:tcPr>
          <w:p w14:paraId="55B61758" w14:textId="3C9FA8E7" w:rsidR="001A02CA" w:rsidRPr="003050E5" w:rsidRDefault="001A02CA" w:rsidP="003E1261">
            <w:pPr>
              <w:jc w:val="center"/>
              <w:rPr>
                <w:b/>
              </w:rPr>
            </w:pPr>
            <w:r w:rsidRPr="003050E5">
              <w:rPr>
                <w:b/>
              </w:rPr>
              <w:t>OČITOVANJE PREDLAGATELJA</w:t>
            </w:r>
          </w:p>
        </w:tc>
      </w:tr>
      <w:tr w:rsidR="005A373F" w:rsidRPr="003050E5" w14:paraId="779EC8C0" w14:textId="77777777" w:rsidTr="00302466">
        <w:tc>
          <w:tcPr>
            <w:tcW w:w="3114" w:type="dxa"/>
            <w:vMerge w:val="restart"/>
            <w:vAlign w:val="center"/>
          </w:tcPr>
          <w:p w14:paraId="4C260B1F" w14:textId="457806A6" w:rsidR="005A373F" w:rsidRPr="003050E5" w:rsidRDefault="005A373F" w:rsidP="003E1261">
            <w:pPr>
              <w:jc w:val="center"/>
              <w:rPr>
                <w:bCs/>
              </w:rPr>
            </w:pPr>
            <w:r w:rsidRPr="003050E5">
              <w:rPr>
                <w:bCs/>
              </w:rPr>
              <w:t>Goran Ša</w:t>
            </w:r>
            <w:r w:rsidR="003A6FA8" w:rsidRPr="003050E5">
              <w:rPr>
                <w:bCs/>
              </w:rPr>
              <w:t>j</w:t>
            </w:r>
            <w:r w:rsidRPr="003050E5">
              <w:rPr>
                <w:bCs/>
              </w:rPr>
              <w:t>ina, Juradni</w:t>
            </w:r>
          </w:p>
        </w:tc>
        <w:tc>
          <w:tcPr>
            <w:tcW w:w="4252" w:type="dxa"/>
          </w:tcPr>
          <w:p w14:paraId="1CDB606A" w14:textId="2D1DFBD9" w:rsidR="003A6FA8" w:rsidRPr="003050E5" w:rsidRDefault="003A6FA8" w:rsidP="003A6FA8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>Povećanje stavke u Programu 2003 Školstvo, Aktivnost A200311 Osnovnoškolsko  obrazovanje, Sufina- nciranje radnih materijala za 50.000,00 kuna (6.636,14 eura) u 2023., 2024. i 2025. godini</w:t>
            </w:r>
          </w:p>
          <w:p w14:paraId="297B284E" w14:textId="7298AAF8" w:rsidR="005A373F" w:rsidRPr="003050E5" w:rsidRDefault="005A373F" w:rsidP="003566F9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>Smanjenje stavke u Programu 200</w:t>
            </w:r>
            <w:r w:rsidR="003A6FA8" w:rsidRPr="003050E5">
              <w:rPr>
                <w:bCs/>
                <w:lang w:val="hr-HR"/>
              </w:rPr>
              <w:t>4 Kultura</w:t>
            </w:r>
            <w:r w:rsidRPr="003050E5">
              <w:rPr>
                <w:bCs/>
                <w:lang w:val="hr-HR"/>
              </w:rPr>
              <w:t>, Aktivnost A200</w:t>
            </w:r>
            <w:r w:rsidR="003A6FA8" w:rsidRPr="003050E5">
              <w:rPr>
                <w:bCs/>
                <w:lang w:val="hr-HR"/>
              </w:rPr>
              <w:t>410 Matuljske ljetne večeri, Ostale usluge za 50.000,00 kuna (6.636.14 eura) u 2023., 2024. i 2025. godini</w:t>
            </w:r>
          </w:p>
          <w:p w14:paraId="6A857329" w14:textId="19361F08" w:rsidR="006B1D26" w:rsidRPr="003050E5" w:rsidRDefault="006B1D26" w:rsidP="00370C27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Obrazloženje – predlaže se </w:t>
            </w:r>
            <w:r w:rsidR="00DA7326" w:rsidRPr="003050E5">
              <w:rPr>
                <w:bCs/>
                <w:lang w:val="hr-HR"/>
              </w:rPr>
              <w:t>povećanje</w:t>
            </w:r>
            <w:r w:rsidR="003A6FA8" w:rsidRPr="003050E5">
              <w:rPr>
                <w:bCs/>
                <w:lang w:val="hr-HR"/>
              </w:rPr>
              <w:t xml:space="preserve"> iznosa</w:t>
            </w:r>
            <w:r w:rsidR="00DA7326" w:rsidRPr="003050E5">
              <w:rPr>
                <w:bCs/>
                <w:lang w:val="hr-HR"/>
              </w:rPr>
              <w:t xml:space="preserve"> za sufinanciranje radnih materijala kako bi se pokazala još veća socijalna osjetljivost i briga za mještane, posebice u vremenima sve većih poskupljenja</w:t>
            </w:r>
            <w:r w:rsidR="00370C27" w:rsidRPr="003050E5">
              <w:rPr>
                <w:bCs/>
                <w:lang w:val="hr-HR"/>
              </w:rPr>
              <w:t>. Također, navedeno je da je Grad Rijeka predvidio besplatne radne bilježnice za sve osnovnoškolce. Smanjenje se predlaže sredstava za organizaciju Matuljskih ljetnih večeri za što se smatra da i smanjeni iznos biti dovoljan da se kvalitetno pripreme</w:t>
            </w:r>
            <w:r w:rsidR="00370C27" w:rsidRPr="003050E5">
              <w:rPr>
                <w:lang w:val="hr-HR"/>
              </w:rPr>
              <w:t xml:space="preserve"> Matuljske ljetne večeri</w:t>
            </w:r>
          </w:p>
        </w:tc>
        <w:tc>
          <w:tcPr>
            <w:tcW w:w="3374" w:type="dxa"/>
          </w:tcPr>
          <w:p w14:paraId="52B1CEEA" w14:textId="70795A4E" w:rsidR="005A373F" w:rsidRPr="003050E5" w:rsidRDefault="003566F9" w:rsidP="00370C27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Navedeni prijedlog </w:t>
            </w:r>
            <w:r w:rsidR="000B14F0">
              <w:rPr>
                <w:bCs/>
                <w:lang w:val="hr-HR"/>
              </w:rPr>
              <w:t>je već</w:t>
            </w:r>
            <w:r w:rsidRPr="003050E5">
              <w:rPr>
                <w:bCs/>
                <w:lang w:val="hr-HR"/>
              </w:rPr>
              <w:t xml:space="preserve"> </w:t>
            </w:r>
            <w:r w:rsidR="00370C27" w:rsidRPr="003050E5">
              <w:rPr>
                <w:bCs/>
                <w:lang w:val="hr-HR"/>
              </w:rPr>
              <w:t>djelomično prihvać</w:t>
            </w:r>
            <w:r w:rsidR="000B14F0">
              <w:rPr>
                <w:bCs/>
                <w:lang w:val="hr-HR"/>
              </w:rPr>
              <w:t>en</w:t>
            </w:r>
            <w:r w:rsidR="00370C27" w:rsidRPr="003050E5">
              <w:rPr>
                <w:bCs/>
                <w:lang w:val="hr-HR"/>
              </w:rPr>
              <w:t xml:space="preserve"> budući je konačnim prijedlogom Proračuna za 2023. godin</w:t>
            </w:r>
            <w:r w:rsidR="003050E5" w:rsidRPr="003050E5">
              <w:rPr>
                <w:bCs/>
                <w:lang w:val="hr-HR"/>
              </w:rPr>
              <w:t>u</w:t>
            </w:r>
            <w:r w:rsidR="00370C27" w:rsidRPr="003050E5">
              <w:rPr>
                <w:bCs/>
                <w:lang w:val="hr-HR"/>
              </w:rPr>
              <w:t xml:space="preserve"> predviđeno povećanje za 4.000,00 eura (30.</w:t>
            </w:r>
            <w:r w:rsidR="003050E5" w:rsidRPr="003050E5">
              <w:rPr>
                <w:bCs/>
                <w:lang w:val="hr-HR"/>
              </w:rPr>
              <w:t>138</w:t>
            </w:r>
            <w:r w:rsidR="00370C27" w:rsidRPr="003050E5">
              <w:rPr>
                <w:bCs/>
                <w:lang w:val="hr-HR"/>
              </w:rPr>
              <w:t xml:space="preserve">,00 kuna) </w:t>
            </w:r>
          </w:p>
          <w:p w14:paraId="626DD5D0" w14:textId="517FCD3A" w:rsidR="00370C27" w:rsidRPr="003050E5" w:rsidRDefault="003050E5" w:rsidP="00370C27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iCs/>
                <w:lang w:val="hr-HR"/>
              </w:rPr>
              <w:t xml:space="preserve">Gledajući ukupan iznos kompleta obveznih radnih materijala za učenike osnovnih škola koji su se u ovoj školskoj godini kretali od oko 200,00 kuna za niže razrede do oko 700,00  kuna za više razrede, </w:t>
            </w:r>
            <w:r w:rsidR="000B14F0">
              <w:rPr>
                <w:iCs/>
                <w:lang w:val="hr-HR"/>
              </w:rPr>
              <w:t xml:space="preserve">već ovi </w:t>
            </w:r>
            <w:r w:rsidRPr="003050E5">
              <w:rPr>
                <w:iCs/>
                <w:lang w:val="hr-HR"/>
              </w:rPr>
              <w:t>planirani iznosi sufinanciranja pokrivaju gotovo cijeli iznos kompleta</w:t>
            </w:r>
            <w:r>
              <w:rPr>
                <w:iCs/>
                <w:lang w:val="hr-HR"/>
              </w:rPr>
              <w:t>, odnosno veći dio, ovisno o razredu. Takođe</w:t>
            </w:r>
            <w:r w:rsidRPr="003050E5">
              <w:rPr>
                <w:iCs/>
                <w:lang w:val="hr-HR"/>
              </w:rPr>
              <w:t>r, sljedeće će se godine prije početka školske godine, odnosno prije zaprimanja zahtjeva sagledati aktualne cijene radnih materijala te ovisno o potrebi povećati iznos sufinanciranja. Za napomenuti je i da se za učenike koji su iz obitelji slabijeg imovinskog statusa financira cjelokupni iznos za radne materijale sukladno Odluci o socijalnoj skrbi.</w:t>
            </w:r>
          </w:p>
          <w:p w14:paraId="3E1CF2E3" w14:textId="605FE4C0" w:rsidR="00CD4F17" w:rsidRPr="003050E5" w:rsidRDefault="00CD4F17" w:rsidP="00CD4F17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>Također, Grad Rijeka nije predvidio sufinanciranje radnih bilježnica za sve učenike osnovnih škola, ve</w:t>
            </w:r>
            <w:r w:rsidR="003050E5">
              <w:rPr>
                <w:bCs/>
                <w:lang w:val="hr-HR"/>
              </w:rPr>
              <w:t>ć</w:t>
            </w:r>
            <w:r w:rsidRPr="003050E5">
              <w:rPr>
                <w:bCs/>
                <w:lang w:val="hr-HR"/>
              </w:rPr>
              <w:t xml:space="preserve"> samo za one učenike koji udovoljavaju </w:t>
            </w:r>
            <w:r w:rsidRPr="003050E5">
              <w:rPr>
                <w:bCs/>
                <w:lang w:val="hr-HR"/>
              </w:rPr>
              <w:lastRenderedPageBreak/>
              <w:t xml:space="preserve">uvjetima po socijalnom programu    </w:t>
            </w:r>
          </w:p>
        </w:tc>
      </w:tr>
      <w:tr w:rsidR="00026BC0" w:rsidRPr="003050E5" w14:paraId="3532DE17" w14:textId="77777777" w:rsidTr="00302466">
        <w:tc>
          <w:tcPr>
            <w:tcW w:w="3114" w:type="dxa"/>
            <w:vMerge/>
          </w:tcPr>
          <w:p w14:paraId="1DEF4E90" w14:textId="77777777" w:rsidR="00026BC0" w:rsidRPr="003050E5" w:rsidRDefault="00026BC0" w:rsidP="00026BC0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2D76F8CF" w14:textId="793A3978" w:rsidR="00370C27" w:rsidRPr="003050E5" w:rsidRDefault="00370C27" w:rsidP="00370C27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Povećanje stavke u Programu 2006 Socijalna skrb, A200604 </w:t>
            </w:r>
            <w:r w:rsidR="008810EB" w:rsidRPr="003050E5">
              <w:rPr>
                <w:bCs/>
                <w:lang w:val="hr-HR"/>
              </w:rPr>
              <w:t>Pomoć</w:t>
            </w:r>
            <w:r w:rsidRPr="003050E5">
              <w:rPr>
                <w:bCs/>
                <w:lang w:val="hr-HR"/>
              </w:rPr>
              <w:t xml:space="preserve"> za novorođenu djecu, Naknade građanima i kućanstvima u novcu  za 49.978,85 kuna (</w:t>
            </w:r>
            <w:r w:rsidR="008810EB" w:rsidRPr="003050E5">
              <w:rPr>
                <w:bCs/>
                <w:lang w:val="hr-HR"/>
              </w:rPr>
              <w:t>6.633.33 eura</w:t>
            </w:r>
            <w:r w:rsidRPr="003050E5">
              <w:rPr>
                <w:bCs/>
                <w:lang w:val="hr-HR"/>
              </w:rPr>
              <w:t>)</w:t>
            </w:r>
            <w:r w:rsidR="008810EB" w:rsidRPr="003050E5">
              <w:rPr>
                <w:bCs/>
                <w:lang w:val="hr-HR"/>
              </w:rPr>
              <w:t xml:space="preserve"> </w:t>
            </w:r>
            <w:r w:rsidRPr="003050E5">
              <w:rPr>
                <w:bCs/>
                <w:lang w:val="hr-HR"/>
              </w:rPr>
              <w:t>u 202</w:t>
            </w:r>
            <w:r w:rsidR="008810EB" w:rsidRPr="003050E5">
              <w:rPr>
                <w:bCs/>
                <w:lang w:val="hr-HR"/>
              </w:rPr>
              <w:t>3., 2024. i 2025.</w:t>
            </w:r>
            <w:r w:rsidRPr="003050E5">
              <w:rPr>
                <w:bCs/>
                <w:lang w:val="hr-HR"/>
              </w:rPr>
              <w:t xml:space="preserve"> godini</w:t>
            </w:r>
          </w:p>
          <w:p w14:paraId="718D0424" w14:textId="34361F4B" w:rsidR="00026BC0" w:rsidRPr="003050E5" w:rsidRDefault="00026BC0" w:rsidP="003566F9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>Smanjenje stavke u Programu 20</w:t>
            </w:r>
            <w:r w:rsidR="008810EB" w:rsidRPr="003050E5">
              <w:rPr>
                <w:bCs/>
                <w:lang w:val="hr-HR"/>
              </w:rPr>
              <w:t>06</w:t>
            </w:r>
            <w:r w:rsidRPr="003050E5">
              <w:rPr>
                <w:bCs/>
                <w:lang w:val="hr-HR"/>
              </w:rPr>
              <w:t xml:space="preserve"> </w:t>
            </w:r>
            <w:r w:rsidR="008810EB" w:rsidRPr="003050E5">
              <w:rPr>
                <w:bCs/>
                <w:lang w:val="hr-HR"/>
              </w:rPr>
              <w:t xml:space="preserve">Socijalna skrb, Kapitalni projekt </w:t>
            </w:r>
            <w:r w:rsidRPr="003050E5">
              <w:rPr>
                <w:bCs/>
                <w:lang w:val="hr-HR"/>
              </w:rPr>
              <w:t xml:space="preserve"> </w:t>
            </w:r>
            <w:r w:rsidR="008810EB" w:rsidRPr="003050E5">
              <w:rPr>
                <w:bCs/>
                <w:lang w:val="hr-HR"/>
              </w:rPr>
              <w:t>K</w:t>
            </w:r>
            <w:r w:rsidRPr="003050E5">
              <w:rPr>
                <w:bCs/>
                <w:lang w:val="hr-HR"/>
              </w:rPr>
              <w:t>20</w:t>
            </w:r>
            <w:r w:rsidR="008810EB" w:rsidRPr="003050E5">
              <w:rPr>
                <w:bCs/>
                <w:lang w:val="hr-HR"/>
              </w:rPr>
              <w:t>0601 Sufinanciranje doma za starije</w:t>
            </w:r>
            <w:r w:rsidRPr="003050E5">
              <w:rPr>
                <w:bCs/>
                <w:lang w:val="hr-HR"/>
              </w:rPr>
              <w:t xml:space="preserve">, </w:t>
            </w:r>
            <w:r w:rsidR="008810EB" w:rsidRPr="003050E5">
              <w:rPr>
                <w:bCs/>
                <w:lang w:val="hr-HR"/>
              </w:rPr>
              <w:t xml:space="preserve">Kapitalne </w:t>
            </w:r>
            <w:r w:rsidR="003050E5" w:rsidRPr="003050E5">
              <w:rPr>
                <w:bCs/>
                <w:lang w:val="hr-HR"/>
              </w:rPr>
              <w:t>pomoći</w:t>
            </w:r>
            <w:r w:rsidR="008810EB" w:rsidRPr="003050E5">
              <w:rPr>
                <w:bCs/>
                <w:lang w:val="hr-HR"/>
              </w:rPr>
              <w:t xml:space="preserve"> unutar </w:t>
            </w:r>
            <w:r w:rsidR="003050E5" w:rsidRPr="003050E5">
              <w:rPr>
                <w:bCs/>
                <w:lang w:val="hr-HR"/>
              </w:rPr>
              <w:t>općeg</w:t>
            </w:r>
            <w:r w:rsidR="008810EB" w:rsidRPr="003050E5">
              <w:rPr>
                <w:bCs/>
                <w:lang w:val="hr-HR"/>
              </w:rPr>
              <w:t xml:space="preserve"> proračuna za 149.936,55 kuna (19.900,00 eura) u 2023. godini</w:t>
            </w:r>
          </w:p>
          <w:p w14:paraId="00A5A4E9" w14:textId="20BED03C" w:rsidR="00026BC0" w:rsidRPr="003050E5" w:rsidRDefault="00026BC0" w:rsidP="00CD4F17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Obrazloženje – predlaže se </w:t>
            </w:r>
            <w:r w:rsidR="008810EB" w:rsidRPr="003050E5">
              <w:rPr>
                <w:bCs/>
                <w:lang w:val="hr-HR"/>
              </w:rPr>
              <w:t xml:space="preserve">povećanje  sredstava kako bi se pokazala još </w:t>
            </w:r>
            <w:r w:rsidR="003050E5" w:rsidRPr="003050E5">
              <w:rPr>
                <w:bCs/>
                <w:lang w:val="hr-HR"/>
              </w:rPr>
              <w:t>veća</w:t>
            </w:r>
            <w:r w:rsidR="008810EB" w:rsidRPr="003050E5">
              <w:rPr>
                <w:bCs/>
                <w:lang w:val="hr-HR"/>
              </w:rPr>
              <w:t xml:space="preserve"> socijalna osjetljivost i briga za još kvalitetniju pronatalitetnu politiku. Navodi se kako je najnoviji popis stanovništva pokazao da Matulji imaju sve </w:t>
            </w:r>
            <w:r w:rsidR="003050E5" w:rsidRPr="003050E5">
              <w:rPr>
                <w:bCs/>
                <w:lang w:val="hr-HR"/>
              </w:rPr>
              <w:t>veći</w:t>
            </w:r>
            <w:r w:rsidR="008810EB" w:rsidRPr="003050E5">
              <w:rPr>
                <w:bCs/>
                <w:lang w:val="hr-HR"/>
              </w:rPr>
              <w:t xml:space="preserve"> broj stanovnika, da </w:t>
            </w:r>
            <w:r w:rsidR="003050E5">
              <w:rPr>
                <w:bCs/>
                <w:lang w:val="hr-HR"/>
              </w:rPr>
              <w:t>u</w:t>
            </w:r>
            <w:r w:rsidR="008810EB" w:rsidRPr="003050E5">
              <w:rPr>
                <w:bCs/>
                <w:lang w:val="hr-HR"/>
              </w:rPr>
              <w:t xml:space="preserve"> </w:t>
            </w:r>
            <w:r w:rsidR="003050E5">
              <w:rPr>
                <w:bCs/>
                <w:lang w:val="hr-HR"/>
              </w:rPr>
              <w:t>M</w:t>
            </w:r>
            <w:r w:rsidR="008810EB" w:rsidRPr="003050E5">
              <w:rPr>
                <w:bCs/>
                <w:lang w:val="hr-HR"/>
              </w:rPr>
              <w:t xml:space="preserve">atuljima ima sve više mladih obitelji te natalitet raste. Smanjenje se predlaže za sufinanciranje projekta Doma za starije u predviđenom </w:t>
            </w:r>
            <w:r w:rsidR="00CD4F17" w:rsidRPr="003050E5">
              <w:rPr>
                <w:bCs/>
                <w:lang w:val="hr-HR"/>
              </w:rPr>
              <w:t>i</w:t>
            </w:r>
            <w:r w:rsidR="008810EB" w:rsidRPr="003050E5">
              <w:rPr>
                <w:bCs/>
                <w:lang w:val="hr-HR"/>
              </w:rPr>
              <w:t>znosu za</w:t>
            </w:r>
            <w:r w:rsidR="00CD4F17" w:rsidRPr="003050E5">
              <w:rPr>
                <w:bCs/>
                <w:lang w:val="hr-HR"/>
              </w:rPr>
              <w:t xml:space="preserve"> 2023. godinu budu</w:t>
            </w:r>
            <w:r w:rsidR="003050E5">
              <w:rPr>
                <w:bCs/>
                <w:lang w:val="hr-HR"/>
              </w:rPr>
              <w:t>ći</w:t>
            </w:r>
            <w:r w:rsidR="00CD4F17" w:rsidRPr="003050E5">
              <w:rPr>
                <w:bCs/>
                <w:lang w:val="hr-HR"/>
              </w:rPr>
              <w:t xml:space="preserve"> se smatra da je projekt na „dugačkom štapu“.</w:t>
            </w:r>
            <w:r w:rsidR="008810EB" w:rsidRPr="003050E5">
              <w:rPr>
                <w:bCs/>
                <w:lang w:val="hr-HR"/>
              </w:rPr>
              <w:t xml:space="preserve"> </w:t>
            </w:r>
          </w:p>
        </w:tc>
        <w:tc>
          <w:tcPr>
            <w:tcW w:w="3374" w:type="dxa"/>
          </w:tcPr>
          <w:p w14:paraId="788A7DF5" w14:textId="6C9A08A7" w:rsidR="00CD4F17" w:rsidRPr="003050E5" w:rsidRDefault="00AC3D04" w:rsidP="003566F9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Navedeni prijedlog </w:t>
            </w:r>
            <w:r w:rsidR="000B14F0">
              <w:rPr>
                <w:bCs/>
                <w:lang w:val="hr-HR"/>
              </w:rPr>
              <w:t>je već</w:t>
            </w:r>
            <w:r w:rsidRPr="003050E5">
              <w:rPr>
                <w:bCs/>
                <w:lang w:val="hr-HR"/>
              </w:rPr>
              <w:t xml:space="preserve"> </w:t>
            </w:r>
            <w:r w:rsidR="00CD4F17" w:rsidRPr="003050E5">
              <w:rPr>
                <w:bCs/>
                <w:lang w:val="hr-HR"/>
              </w:rPr>
              <w:t>načelno prihvać</w:t>
            </w:r>
            <w:r w:rsidR="000B14F0">
              <w:rPr>
                <w:bCs/>
                <w:lang w:val="hr-HR"/>
              </w:rPr>
              <w:t>en</w:t>
            </w:r>
            <w:r w:rsidR="00CD4F17" w:rsidRPr="003050E5">
              <w:rPr>
                <w:bCs/>
                <w:lang w:val="hr-HR"/>
              </w:rPr>
              <w:t xml:space="preserve"> iako povećanje ove pozicije ne znači povećanje </w:t>
            </w:r>
            <w:r w:rsidR="003050E5" w:rsidRPr="003050E5">
              <w:rPr>
                <w:bCs/>
                <w:lang w:val="hr-HR"/>
              </w:rPr>
              <w:t>pomoći</w:t>
            </w:r>
            <w:r w:rsidR="00CD4F17" w:rsidRPr="003050E5">
              <w:rPr>
                <w:bCs/>
                <w:lang w:val="hr-HR"/>
              </w:rPr>
              <w:t xml:space="preserve"> koja bi se isplaćivala budući je isto propisano odlukom koju je donijelo Općinsko vijeće stoga je nužno donošenje izmjene odluke kako bi se povećali iznosi </w:t>
            </w:r>
            <w:r w:rsidR="003050E5" w:rsidRPr="003050E5">
              <w:rPr>
                <w:bCs/>
                <w:lang w:val="hr-HR"/>
              </w:rPr>
              <w:t>pomoći</w:t>
            </w:r>
            <w:r w:rsidR="00CD4F17" w:rsidRPr="003050E5">
              <w:rPr>
                <w:bCs/>
                <w:lang w:val="hr-HR"/>
              </w:rPr>
              <w:t xml:space="preserve"> za novorođenu djecu</w:t>
            </w:r>
          </w:p>
          <w:p w14:paraId="7F6B1001" w14:textId="53F855A3" w:rsidR="00CD4F17" w:rsidRPr="003050E5" w:rsidRDefault="000B14F0" w:rsidP="003566F9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E</w:t>
            </w:r>
            <w:r w:rsidR="003050E5" w:rsidRPr="003050E5">
              <w:rPr>
                <w:bCs/>
                <w:lang w:val="hr-HR"/>
              </w:rPr>
              <w:t xml:space="preserve">ventualno </w:t>
            </w:r>
            <w:r>
              <w:rPr>
                <w:bCs/>
                <w:lang w:val="hr-HR"/>
              </w:rPr>
              <w:t xml:space="preserve">povećanje će se </w:t>
            </w:r>
            <w:r w:rsidR="003050E5" w:rsidRPr="003050E5">
              <w:rPr>
                <w:bCs/>
                <w:lang w:val="hr-HR"/>
              </w:rPr>
              <w:t>planirati izmjenama proračuna u 2023. godini</w:t>
            </w:r>
            <w:r>
              <w:rPr>
                <w:bCs/>
                <w:lang w:val="hr-HR"/>
              </w:rPr>
              <w:t>,</w:t>
            </w:r>
            <w:r w:rsidR="003050E5" w:rsidRPr="003050E5">
              <w:rPr>
                <w:bCs/>
                <w:lang w:val="hr-HR"/>
              </w:rPr>
              <w:t xml:space="preserve"> ukoliko </w:t>
            </w:r>
            <w:r>
              <w:rPr>
                <w:bCs/>
                <w:lang w:val="hr-HR"/>
              </w:rPr>
              <w:t xml:space="preserve">to </w:t>
            </w:r>
            <w:r w:rsidR="003050E5" w:rsidRPr="003050E5">
              <w:rPr>
                <w:bCs/>
                <w:lang w:val="hr-HR"/>
              </w:rPr>
              <w:t>bude potrebno sukladno broju podnesenih zahtjeva i iznosima sukladno novoj odluci</w:t>
            </w:r>
          </w:p>
          <w:p w14:paraId="12F6868B" w14:textId="094B3A5C" w:rsidR="00AC3D04" w:rsidRPr="003050E5" w:rsidRDefault="00CD4F17" w:rsidP="003566F9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Predloženi amandman se ne bi mogao prihvatiti u dijelu koji se navodi za 2024. i 2025. godinu </w:t>
            </w:r>
            <w:r w:rsidR="003050E5" w:rsidRPr="003050E5">
              <w:rPr>
                <w:bCs/>
                <w:lang w:val="hr-HR"/>
              </w:rPr>
              <w:t>budući</w:t>
            </w:r>
            <w:r w:rsidRPr="003050E5">
              <w:rPr>
                <w:bCs/>
                <w:lang w:val="hr-HR"/>
              </w:rPr>
              <w:t xml:space="preserve"> nisu predložene stavke koje se umanjuju  </w:t>
            </w:r>
          </w:p>
          <w:p w14:paraId="6DB433C4" w14:textId="77777777" w:rsidR="00026BC0" w:rsidRPr="003050E5" w:rsidRDefault="00026BC0" w:rsidP="00AC3D04">
            <w:pPr>
              <w:rPr>
                <w:bCs/>
              </w:rPr>
            </w:pPr>
          </w:p>
        </w:tc>
      </w:tr>
      <w:tr w:rsidR="00CD4F17" w:rsidRPr="003050E5" w14:paraId="1CB8D31F" w14:textId="77777777" w:rsidTr="00CD4F17">
        <w:tc>
          <w:tcPr>
            <w:tcW w:w="3114" w:type="dxa"/>
            <w:vMerge w:val="restart"/>
            <w:vAlign w:val="center"/>
          </w:tcPr>
          <w:p w14:paraId="4B4C857A" w14:textId="3BC4868F" w:rsidR="00CD4F17" w:rsidRPr="003050E5" w:rsidRDefault="00CD4F17" w:rsidP="00026BC0">
            <w:pPr>
              <w:jc w:val="center"/>
              <w:rPr>
                <w:bCs/>
              </w:rPr>
            </w:pPr>
            <w:r w:rsidRPr="003050E5">
              <w:rPr>
                <w:bCs/>
              </w:rPr>
              <w:t>Sandro Ladavac, Juši</w:t>
            </w:r>
            <w:r w:rsidR="00DD5A75">
              <w:rPr>
                <w:bCs/>
              </w:rPr>
              <w:t>ć</w:t>
            </w:r>
            <w:r w:rsidRPr="003050E5">
              <w:rPr>
                <w:bCs/>
              </w:rPr>
              <w:t>i</w:t>
            </w:r>
          </w:p>
        </w:tc>
        <w:tc>
          <w:tcPr>
            <w:tcW w:w="4252" w:type="dxa"/>
          </w:tcPr>
          <w:p w14:paraId="7BC74416" w14:textId="379AEF2A" w:rsidR="00AB6946" w:rsidRPr="003050E5" w:rsidRDefault="00AB6946" w:rsidP="00AB6946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Povećanje stavke u Programu 2012 Zaštita okoliša, </w:t>
            </w:r>
            <w:r w:rsidR="003050E5" w:rsidRPr="003050E5">
              <w:rPr>
                <w:bCs/>
                <w:lang w:val="hr-HR"/>
              </w:rPr>
              <w:t>Tekući</w:t>
            </w:r>
            <w:r w:rsidRPr="003050E5">
              <w:rPr>
                <w:bCs/>
                <w:lang w:val="hr-HR"/>
              </w:rPr>
              <w:t xml:space="preserve"> projekt T201202 Sufinanciranje izrade projektne dokumentacije za solarne elektrane u </w:t>
            </w:r>
            <w:r w:rsidR="003050E5" w:rsidRPr="003050E5">
              <w:rPr>
                <w:bCs/>
                <w:lang w:val="hr-HR"/>
              </w:rPr>
              <w:t>kućanstvima</w:t>
            </w:r>
            <w:r w:rsidRPr="003050E5">
              <w:rPr>
                <w:bCs/>
                <w:lang w:val="hr-HR"/>
              </w:rPr>
              <w:t xml:space="preserve">, Kapitalne donacije građanima i </w:t>
            </w:r>
            <w:r w:rsidR="003050E5" w:rsidRPr="003050E5">
              <w:rPr>
                <w:bCs/>
                <w:lang w:val="hr-HR"/>
              </w:rPr>
              <w:t>kućanstvima</w:t>
            </w:r>
            <w:r w:rsidRPr="003050E5">
              <w:rPr>
                <w:bCs/>
                <w:lang w:val="hr-HR"/>
              </w:rPr>
              <w:t xml:space="preserve"> za 50.000,00 kuna (6.636,14 eura) u 2023., 2024. i 2025. godini</w:t>
            </w:r>
          </w:p>
          <w:p w14:paraId="268BF1CF" w14:textId="20FC138B" w:rsidR="00AB6946" w:rsidRPr="003050E5" w:rsidRDefault="00AB6946" w:rsidP="00AB6946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>Smanjenje stavke u Programu 2004 Kultura, Aktivnost A200403 Karneval, Ostale usluge za 50.000,00 kuna (6.636.14 eura) u 2023., 2024. i 2025. godini</w:t>
            </w:r>
          </w:p>
          <w:p w14:paraId="51A98391" w14:textId="2F1A6CDB" w:rsidR="00CD4F17" w:rsidRPr="003050E5" w:rsidRDefault="00AB6946" w:rsidP="00AB6946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Obrazloženje – pohvaljuje se stavljanje ove stavke u proračun i projekcije te se predlaže povećanje iznosa za sufinanciranje izrade projektne dokumentacije za solarne elektrane u </w:t>
            </w:r>
            <w:r w:rsidR="003050E5" w:rsidRPr="003050E5">
              <w:rPr>
                <w:bCs/>
                <w:lang w:val="hr-HR"/>
              </w:rPr>
              <w:t>kućanstvima</w:t>
            </w:r>
            <w:r w:rsidRPr="003050E5">
              <w:rPr>
                <w:bCs/>
                <w:lang w:val="hr-HR"/>
              </w:rPr>
              <w:t xml:space="preserve"> kako bi se pokazala jaka ekološka poruka, da kroz godine stvori što šira baza solarnih panela duž cije</w:t>
            </w:r>
            <w:r w:rsidR="003050E5">
              <w:rPr>
                <w:bCs/>
                <w:lang w:val="hr-HR"/>
              </w:rPr>
              <w:t>l</w:t>
            </w:r>
            <w:r w:rsidRPr="003050E5">
              <w:rPr>
                <w:bCs/>
                <w:lang w:val="hr-HR"/>
              </w:rPr>
              <w:t>e Op</w:t>
            </w:r>
            <w:r w:rsidR="003050E5">
              <w:rPr>
                <w:bCs/>
                <w:lang w:val="hr-HR"/>
              </w:rPr>
              <w:t>ć</w:t>
            </w:r>
            <w:r w:rsidRPr="003050E5">
              <w:rPr>
                <w:bCs/>
                <w:lang w:val="hr-HR"/>
              </w:rPr>
              <w:t xml:space="preserve">ine. Smanjenje se predlaže sa stavke Karneval za što se smatra da se ne bi trebalo osjetiti </w:t>
            </w:r>
            <w:r w:rsidR="003050E5" w:rsidRPr="003050E5">
              <w:rPr>
                <w:bCs/>
                <w:lang w:val="hr-HR"/>
              </w:rPr>
              <w:t>budući</w:t>
            </w:r>
            <w:r w:rsidRPr="003050E5">
              <w:rPr>
                <w:bCs/>
                <w:lang w:val="hr-HR"/>
              </w:rPr>
              <w:t xml:space="preserve"> su sredstva </w:t>
            </w:r>
            <w:r w:rsidR="003050E5" w:rsidRPr="003050E5">
              <w:rPr>
                <w:bCs/>
                <w:lang w:val="hr-HR"/>
              </w:rPr>
              <w:t>povećana</w:t>
            </w:r>
            <w:r w:rsidRPr="003050E5">
              <w:rPr>
                <w:bCs/>
                <w:lang w:val="hr-HR"/>
              </w:rPr>
              <w:t xml:space="preserve"> u odnosu na 2022. godinu i da se s tim iznosom može organizirati kvalitetna karnevalska događanja. </w:t>
            </w:r>
          </w:p>
        </w:tc>
        <w:tc>
          <w:tcPr>
            <w:tcW w:w="3374" w:type="dxa"/>
          </w:tcPr>
          <w:p w14:paraId="058638B8" w14:textId="7335A11A" w:rsidR="00426A28" w:rsidRPr="003F53D8" w:rsidRDefault="00AB6946" w:rsidP="003F53D8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Navedeni prijedlog se </w:t>
            </w:r>
            <w:r w:rsidR="00DD5A75">
              <w:rPr>
                <w:bCs/>
                <w:lang w:val="hr-HR"/>
              </w:rPr>
              <w:t xml:space="preserve">ne </w:t>
            </w:r>
            <w:r w:rsidRPr="003050E5">
              <w:rPr>
                <w:bCs/>
                <w:lang w:val="hr-HR"/>
              </w:rPr>
              <w:t xml:space="preserve">prihvaća budući </w:t>
            </w:r>
            <w:r w:rsidR="00DD5A75">
              <w:rPr>
                <w:bCs/>
                <w:lang w:val="hr-HR"/>
              </w:rPr>
              <w:t xml:space="preserve">se smatra da će za početak provedbe ove vrste sufinanciranja predloženi iznos biti dovoljan te će se </w:t>
            </w:r>
            <w:r w:rsidR="003F53D8">
              <w:rPr>
                <w:bCs/>
                <w:lang w:val="hr-HR"/>
              </w:rPr>
              <w:t>po provedenoj evaluaciji moći utvrditi daljnj</w:t>
            </w:r>
            <w:r w:rsidR="000B14F0">
              <w:rPr>
                <w:bCs/>
                <w:lang w:val="hr-HR"/>
              </w:rPr>
              <w:t>e mjere</w:t>
            </w:r>
          </w:p>
          <w:p w14:paraId="6F29413E" w14:textId="7CBD34CA" w:rsidR="0014273D" w:rsidRPr="003F53D8" w:rsidRDefault="0014273D" w:rsidP="003F53D8">
            <w:pPr>
              <w:ind w:left="34"/>
              <w:jc w:val="both"/>
              <w:rPr>
                <w:bCs/>
              </w:rPr>
            </w:pPr>
          </w:p>
        </w:tc>
      </w:tr>
      <w:tr w:rsidR="00CD4F17" w:rsidRPr="003050E5" w14:paraId="5A54D2C0" w14:textId="77777777" w:rsidTr="00302466">
        <w:tc>
          <w:tcPr>
            <w:tcW w:w="3114" w:type="dxa"/>
            <w:vMerge/>
          </w:tcPr>
          <w:p w14:paraId="1E03B8E5" w14:textId="77777777" w:rsidR="00CD4F17" w:rsidRPr="003050E5" w:rsidRDefault="00CD4F17" w:rsidP="00026BC0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13F96954" w14:textId="12E4BE3B" w:rsidR="00AB6946" w:rsidRPr="003050E5" w:rsidRDefault="00AB6946" w:rsidP="00AB6946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>Povećanje stavke u Programu 201</w:t>
            </w:r>
            <w:r w:rsidR="00C74E0F" w:rsidRPr="003050E5">
              <w:rPr>
                <w:bCs/>
                <w:lang w:val="hr-HR"/>
              </w:rPr>
              <w:t>1</w:t>
            </w:r>
            <w:r w:rsidRPr="003050E5">
              <w:rPr>
                <w:bCs/>
                <w:lang w:val="hr-HR"/>
              </w:rPr>
              <w:t xml:space="preserve"> </w:t>
            </w:r>
            <w:r w:rsidR="00C74E0F" w:rsidRPr="003050E5">
              <w:rPr>
                <w:bCs/>
                <w:lang w:val="hr-HR"/>
              </w:rPr>
              <w:t>Gospodarstvo</w:t>
            </w:r>
            <w:r w:rsidRPr="003050E5">
              <w:rPr>
                <w:bCs/>
                <w:lang w:val="hr-HR"/>
              </w:rPr>
              <w:t xml:space="preserve">, </w:t>
            </w:r>
            <w:r w:rsidR="00C74E0F" w:rsidRPr="003050E5">
              <w:rPr>
                <w:bCs/>
                <w:lang w:val="hr-HR"/>
              </w:rPr>
              <w:t>Aktivnost A</w:t>
            </w:r>
            <w:r w:rsidRPr="003050E5">
              <w:rPr>
                <w:bCs/>
                <w:lang w:val="hr-HR"/>
              </w:rPr>
              <w:t>201</w:t>
            </w:r>
            <w:r w:rsidR="00C74E0F" w:rsidRPr="003050E5">
              <w:rPr>
                <w:bCs/>
                <w:lang w:val="hr-HR"/>
              </w:rPr>
              <w:t>1</w:t>
            </w:r>
            <w:r w:rsidRPr="003050E5">
              <w:rPr>
                <w:bCs/>
                <w:lang w:val="hr-HR"/>
              </w:rPr>
              <w:t>0</w:t>
            </w:r>
            <w:r w:rsidR="00C74E0F" w:rsidRPr="003050E5">
              <w:rPr>
                <w:bCs/>
                <w:lang w:val="hr-HR"/>
              </w:rPr>
              <w:t>3</w:t>
            </w:r>
            <w:r w:rsidRPr="003050E5">
              <w:rPr>
                <w:bCs/>
                <w:lang w:val="hr-HR"/>
              </w:rPr>
              <w:t xml:space="preserve"> </w:t>
            </w:r>
            <w:r w:rsidR="00C74E0F" w:rsidRPr="003050E5">
              <w:rPr>
                <w:bCs/>
                <w:lang w:val="hr-HR"/>
              </w:rPr>
              <w:t>Subvencije za razvoj turizma</w:t>
            </w:r>
            <w:r w:rsidR="003050E5">
              <w:rPr>
                <w:bCs/>
                <w:lang w:val="hr-HR"/>
              </w:rPr>
              <w:t xml:space="preserve"> </w:t>
            </w:r>
            <w:r w:rsidRPr="003050E5">
              <w:rPr>
                <w:bCs/>
                <w:lang w:val="hr-HR"/>
              </w:rPr>
              <w:t xml:space="preserve">za </w:t>
            </w:r>
            <w:r w:rsidR="00C74E0F" w:rsidRPr="003050E5">
              <w:rPr>
                <w:bCs/>
                <w:lang w:val="hr-HR"/>
              </w:rPr>
              <w:t xml:space="preserve">24.999,21 </w:t>
            </w:r>
            <w:r w:rsidRPr="003050E5">
              <w:rPr>
                <w:bCs/>
                <w:lang w:val="hr-HR"/>
              </w:rPr>
              <w:t>kuna (</w:t>
            </w:r>
            <w:r w:rsidR="00C74E0F" w:rsidRPr="003050E5">
              <w:rPr>
                <w:bCs/>
                <w:lang w:val="hr-HR"/>
              </w:rPr>
              <w:t>3.317,97</w:t>
            </w:r>
            <w:r w:rsidRPr="003050E5">
              <w:rPr>
                <w:bCs/>
                <w:lang w:val="hr-HR"/>
              </w:rPr>
              <w:t xml:space="preserve"> eura) u 2023., 2024. i 2025. godini</w:t>
            </w:r>
          </w:p>
          <w:p w14:paraId="624A7E46" w14:textId="3AE06C3F" w:rsidR="00AB6946" w:rsidRPr="003050E5" w:rsidRDefault="00AB6946" w:rsidP="00AB6946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Smanjenje stavke u Programu </w:t>
            </w:r>
            <w:r w:rsidR="00C74E0F" w:rsidRPr="003050E5">
              <w:rPr>
                <w:bCs/>
                <w:lang w:val="hr-HR"/>
              </w:rPr>
              <w:t>1</w:t>
            </w:r>
            <w:r w:rsidRPr="003050E5">
              <w:rPr>
                <w:bCs/>
                <w:lang w:val="hr-HR"/>
              </w:rPr>
              <w:t>00</w:t>
            </w:r>
            <w:r w:rsidR="00C74E0F" w:rsidRPr="003050E5">
              <w:rPr>
                <w:bCs/>
                <w:lang w:val="hr-HR"/>
              </w:rPr>
              <w:t>2</w:t>
            </w:r>
            <w:r w:rsidRPr="003050E5">
              <w:rPr>
                <w:bCs/>
                <w:lang w:val="hr-HR"/>
              </w:rPr>
              <w:t xml:space="preserve"> </w:t>
            </w:r>
            <w:r w:rsidR="00C74E0F" w:rsidRPr="003050E5">
              <w:rPr>
                <w:bCs/>
                <w:lang w:val="hr-HR"/>
              </w:rPr>
              <w:t xml:space="preserve">Izvršno tijelo </w:t>
            </w:r>
            <w:r w:rsidR="00DD5A75">
              <w:rPr>
                <w:bCs/>
                <w:lang w:val="hr-HR"/>
              </w:rPr>
              <w:t>-</w:t>
            </w:r>
            <w:r w:rsidR="00C74E0F" w:rsidRPr="003050E5">
              <w:rPr>
                <w:bCs/>
                <w:lang w:val="hr-HR"/>
              </w:rPr>
              <w:t xml:space="preserve"> </w:t>
            </w:r>
            <w:r w:rsidR="003050E5" w:rsidRPr="003050E5">
              <w:rPr>
                <w:bCs/>
                <w:lang w:val="hr-HR"/>
              </w:rPr>
              <w:t>Općinski</w:t>
            </w:r>
            <w:r w:rsidR="00C74E0F" w:rsidRPr="003050E5">
              <w:rPr>
                <w:bCs/>
                <w:lang w:val="hr-HR"/>
              </w:rPr>
              <w:t xml:space="preserve"> načelnik</w:t>
            </w:r>
            <w:r w:rsidRPr="003050E5">
              <w:rPr>
                <w:bCs/>
                <w:lang w:val="hr-HR"/>
              </w:rPr>
              <w:t>, Aktivnost A</w:t>
            </w:r>
            <w:r w:rsidR="00C74E0F" w:rsidRPr="003050E5">
              <w:rPr>
                <w:bCs/>
                <w:lang w:val="hr-HR"/>
              </w:rPr>
              <w:t>100201 Trošak redovnog rada izvršnog tijela</w:t>
            </w:r>
            <w:r w:rsidRPr="003050E5">
              <w:rPr>
                <w:bCs/>
                <w:lang w:val="hr-HR"/>
              </w:rPr>
              <w:t xml:space="preserve">, </w:t>
            </w:r>
            <w:r w:rsidR="00C74E0F" w:rsidRPr="003050E5">
              <w:rPr>
                <w:bCs/>
                <w:lang w:val="hr-HR"/>
              </w:rPr>
              <w:t>Usluge promidžbe i informiranja</w:t>
            </w:r>
            <w:r w:rsidRPr="003050E5">
              <w:rPr>
                <w:bCs/>
                <w:lang w:val="hr-HR"/>
              </w:rPr>
              <w:t xml:space="preserve"> </w:t>
            </w:r>
            <w:r w:rsidR="00C74E0F" w:rsidRPr="003050E5">
              <w:rPr>
                <w:bCs/>
                <w:lang w:val="hr-HR"/>
              </w:rPr>
              <w:t xml:space="preserve">za </w:t>
            </w:r>
            <w:r w:rsidR="00C74E0F" w:rsidRPr="003050E5">
              <w:rPr>
                <w:bCs/>
                <w:lang w:val="hr-HR"/>
              </w:rPr>
              <w:lastRenderedPageBreak/>
              <w:t>24.999,21 kuna (3.317,97 eura) u 2023., 2024. i 2025. godini</w:t>
            </w:r>
          </w:p>
          <w:p w14:paraId="0FD8E896" w14:textId="4D74EDC4" w:rsidR="00CD4F17" w:rsidRPr="003050E5" w:rsidRDefault="00AB6946" w:rsidP="00C74E0F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t xml:space="preserve">Obrazloženje – predlaže </w:t>
            </w:r>
            <w:r w:rsidR="00C74E0F" w:rsidRPr="003050E5">
              <w:rPr>
                <w:bCs/>
                <w:lang w:val="hr-HR"/>
              </w:rPr>
              <w:t xml:space="preserve">se </w:t>
            </w:r>
            <w:r w:rsidRPr="003050E5">
              <w:rPr>
                <w:bCs/>
                <w:lang w:val="hr-HR"/>
              </w:rPr>
              <w:t xml:space="preserve">povećanje iznosa za </w:t>
            </w:r>
            <w:r w:rsidR="00C74E0F" w:rsidRPr="003050E5">
              <w:rPr>
                <w:bCs/>
                <w:lang w:val="hr-HR"/>
              </w:rPr>
              <w:t xml:space="preserve">subvencije za razvoj turizma </w:t>
            </w:r>
            <w:r w:rsidR="003050E5" w:rsidRPr="003050E5">
              <w:rPr>
                <w:bCs/>
                <w:lang w:val="hr-HR"/>
              </w:rPr>
              <w:t>budući</w:t>
            </w:r>
            <w:r w:rsidR="00C74E0F" w:rsidRPr="003050E5">
              <w:rPr>
                <w:bCs/>
                <w:lang w:val="hr-HR"/>
              </w:rPr>
              <w:t xml:space="preserve"> se sve više matuljskih obitelji bavi turizmom te svaka subvencija dobro dođe i pokazuje pravac kojim Op</w:t>
            </w:r>
            <w:r w:rsidR="003050E5">
              <w:rPr>
                <w:bCs/>
                <w:lang w:val="hr-HR"/>
              </w:rPr>
              <w:t>ć</w:t>
            </w:r>
            <w:r w:rsidR="00C74E0F" w:rsidRPr="003050E5">
              <w:rPr>
                <w:bCs/>
                <w:lang w:val="hr-HR"/>
              </w:rPr>
              <w:t>ina</w:t>
            </w:r>
            <w:r w:rsidR="003050E5">
              <w:rPr>
                <w:bCs/>
                <w:lang w:val="hr-HR"/>
              </w:rPr>
              <w:t xml:space="preserve"> </w:t>
            </w:r>
            <w:r w:rsidR="00C74E0F" w:rsidRPr="003050E5">
              <w:rPr>
                <w:bCs/>
                <w:lang w:val="hr-HR"/>
              </w:rPr>
              <w:t>ide. Smanjenje</w:t>
            </w:r>
            <w:r w:rsidRPr="003050E5">
              <w:rPr>
                <w:bCs/>
                <w:lang w:val="hr-HR"/>
              </w:rPr>
              <w:t xml:space="preserve"> se predlaže sa stavke </w:t>
            </w:r>
            <w:r w:rsidR="00C74E0F" w:rsidRPr="003050E5">
              <w:rPr>
                <w:bCs/>
                <w:lang w:val="hr-HR"/>
              </w:rPr>
              <w:t>promidžbe i informiranja u programu izvršnog tijela</w:t>
            </w:r>
            <w:r w:rsidRPr="003050E5">
              <w:rPr>
                <w:bCs/>
                <w:lang w:val="hr-HR"/>
              </w:rPr>
              <w:t>.</w:t>
            </w:r>
          </w:p>
        </w:tc>
        <w:tc>
          <w:tcPr>
            <w:tcW w:w="3374" w:type="dxa"/>
          </w:tcPr>
          <w:p w14:paraId="0F5F693C" w14:textId="53426938" w:rsidR="00CD4F17" w:rsidRPr="003050E5" w:rsidRDefault="00C74E0F" w:rsidP="007D7164">
            <w:pPr>
              <w:pStyle w:val="Odlomakpopisa"/>
              <w:numPr>
                <w:ilvl w:val="0"/>
                <w:numId w:val="2"/>
              </w:numPr>
              <w:ind w:left="176" w:hanging="142"/>
              <w:jc w:val="both"/>
              <w:rPr>
                <w:bCs/>
                <w:lang w:val="hr-HR"/>
              </w:rPr>
            </w:pPr>
            <w:r w:rsidRPr="003050E5">
              <w:rPr>
                <w:bCs/>
                <w:lang w:val="hr-HR"/>
              </w:rPr>
              <w:lastRenderedPageBreak/>
              <w:t xml:space="preserve">Navedeno se ne </w:t>
            </w:r>
            <w:r w:rsidR="007D7164" w:rsidRPr="003050E5">
              <w:rPr>
                <w:bCs/>
                <w:lang w:val="hr-HR"/>
              </w:rPr>
              <w:t>prihvaća</w:t>
            </w:r>
            <w:r w:rsidRPr="003050E5">
              <w:rPr>
                <w:bCs/>
                <w:lang w:val="hr-HR"/>
              </w:rPr>
              <w:t xml:space="preserve"> </w:t>
            </w:r>
            <w:r w:rsidR="007D7164" w:rsidRPr="003050E5">
              <w:rPr>
                <w:bCs/>
                <w:lang w:val="hr-HR"/>
              </w:rPr>
              <w:t>budući</w:t>
            </w:r>
            <w:r w:rsidRPr="003050E5">
              <w:rPr>
                <w:bCs/>
                <w:lang w:val="hr-HR"/>
              </w:rPr>
              <w:t xml:space="preserve"> nije</w:t>
            </w:r>
            <w:r w:rsidR="007D7164" w:rsidRPr="003050E5">
              <w:rPr>
                <w:bCs/>
                <w:lang w:val="hr-HR"/>
              </w:rPr>
              <w:t xml:space="preserve"> dan </w:t>
            </w:r>
            <w:r w:rsidRPr="003050E5">
              <w:rPr>
                <w:bCs/>
                <w:lang w:val="hr-HR"/>
              </w:rPr>
              <w:t>konkretan prijedlog</w:t>
            </w:r>
            <w:r w:rsidR="007D7164" w:rsidRPr="003050E5">
              <w:rPr>
                <w:bCs/>
                <w:lang w:val="hr-HR"/>
              </w:rPr>
              <w:t xml:space="preserve"> na koje subvencije se odnosi </w:t>
            </w:r>
            <w:r w:rsidR="003050E5" w:rsidRPr="003050E5">
              <w:rPr>
                <w:bCs/>
                <w:lang w:val="hr-HR"/>
              </w:rPr>
              <w:t>povećanje</w:t>
            </w:r>
            <w:r w:rsidR="007D7164" w:rsidRPr="003050E5">
              <w:rPr>
                <w:bCs/>
                <w:lang w:val="hr-HR"/>
              </w:rPr>
              <w:t xml:space="preserve"> </w:t>
            </w:r>
            <w:r w:rsidRPr="003050E5">
              <w:rPr>
                <w:bCs/>
                <w:lang w:val="hr-HR"/>
              </w:rPr>
              <w:t xml:space="preserve"> </w:t>
            </w:r>
            <w:r w:rsidR="007D7164" w:rsidRPr="003050E5">
              <w:rPr>
                <w:bCs/>
                <w:lang w:val="hr-HR"/>
              </w:rPr>
              <w:t xml:space="preserve"> </w:t>
            </w:r>
            <w:r w:rsidRPr="003050E5">
              <w:rPr>
                <w:bCs/>
                <w:lang w:val="hr-HR"/>
              </w:rPr>
              <w:t xml:space="preserve">  </w:t>
            </w:r>
          </w:p>
        </w:tc>
      </w:tr>
    </w:tbl>
    <w:p w14:paraId="531B0D83" w14:textId="77777777" w:rsidR="003050E5" w:rsidRDefault="003050E5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</w:p>
    <w:p w14:paraId="2A1C0093" w14:textId="4FE24A9B" w:rsidR="006A0008" w:rsidRPr="003050E5" w:rsidRDefault="008E07AD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  <w:r w:rsidRPr="003050E5">
        <w:rPr>
          <w:color w:val="000000"/>
        </w:rPr>
        <w:t>OPĆINA MATULJI</w:t>
      </w:r>
      <w:r w:rsidR="001F28B9" w:rsidRPr="003050E5">
        <w:rPr>
          <w:color w:val="000000"/>
        </w:rPr>
        <w:tab/>
      </w:r>
      <w:r w:rsidR="001F28B9" w:rsidRPr="003050E5">
        <w:rPr>
          <w:color w:val="000000"/>
        </w:rPr>
        <w:tab/>
      </w:r>
      <w:r w:rsidR="001F28B9" w:rsidRPr="003050E5">
        <w:rPr>
          <w:color w:val="000000"/>
        </w:rPr>
        <w:tab/>
      </w:r>
      <w:r w:rsidR="001F28B9" w:rsidRPr="003050E5">
        <w:rPr>
          <w:color w:val="000000"/>
        </w:rPr>
        <w:tab/>
      </w:r>
      <w:r w:rsidR="001F28B9" w:rsidRPr="003050E5">
        <w:rPr>
          <w:color w:val="000000"/>
        </w:rPr>
        <w:tab/>
      </w:r>
      <w:r w:rsidR="001F28B9" w:rsidRPr="003050E5">
        <w:rPr>
          <w:color w:val="000000"/>
        </w:rPr>
        <w:tab/>
      </w:r>
    </w:p>
    <w:sectPr w:rsidR="006A0008" w:rsidRPr="003050E5" w:rsidSect="0030246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A26"/>
    <w:multiLevelType w:val="hybridMultilevel"/>
    <w:tmpl w:val="89F88E90"/>
    <w:lvl w:ilvl="0" w:tplc="90D4B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91769">
    <w:abstractNumId w:val="0"/>
  </w:num>
  <w:num w:numId="2" w16cid:durableId="1913541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4E6"/>
    <w:rsid w:val="00026BC0"/>
    <w:rsid w:val="0003470C"/>
    <w:rsid w:val="00070F24"/>
    <w:rsid w:val="000B09F8"/>
    <w:rsid w:val="000B14F0"/>
    <w:rsid w:val="000D2277"/>
    <w:rsid w:val="000F26B3"/>
    <w:rsid w:val="0014273D"/>
    <w:rsid w:val="00144B58"/>
    <w:rsid w:val="001A02CA"/>
    <w:rsid w:val="001F28B9"/>
    <w:rsid w:val="002308B3"/>
    <w:rsid w:val="00246AF4"/>
    <w:rsid w:val="00251E48"/>
    <w:rsid w:val="002A579E"/>
    <w:rsid w:val="00302466"/>
    <w:rsid w:val="003050E5"/>
    <w:rsid w:val="003566F9"/>
    <w:rsid w:val="00370C27"/>
    <w:rsid w:val="00385A2C"/>
    <w:rsid w:val="00396AE6"/>
    <w:rsid w:val="003A6FA8"/>
    <w:rsid w:val="003E1DCD"/>
    <w:rsid w:val="003F53D8"/>
    <w:rsid w:val="004039E1"/>
    <w:rsid w:val="00426A28"/>
    <w:rsid w:val="00441136"/>
    <w:rsid w:val="0044187C"/>
    <w:rsid w:val="004B0289"/>
    <w:rsid w:val="00536E7D"/>
    <w:rsid w:val="00552E82"/>
    <w:rsid w:val="005664E6"/>
    <w:rsid w:val="005A373F"/>
    <w:rsid w:val="005B4F3A"/>
    <w:rsid w:val="00602731"/>
    <w:rsid w:val="006A0008"/>
    <w:rsid w:val="006B1D26"/>
    <w:rsid w:val="00785017"/>
    <w:rsid w:val="007D7164"/>
    <w:rsid w:val="007E3A84"/>
    <w:rsid w:val="007F2BD7"/>
    <w:rsid w:val="008810EB"/>
    <w:rsid w:val="008E07AD"/>
    <w:rsid w:val="00A26AE2"/>
    <w:rsid w:val="00A376F7"/>
    <w:rsid w:val="00AB6946"/>
    <w:rsid w:val="00AC3D04"/>
    <w:rsid w:val="00AE0259"/>
    <w:rsid w:val="00B16B0C"/>
    <w:rsid w:val="00C47A52"/>
    <w:rsid w:val="00C53BAF"/>
    <w:rsid w:val="00C74E0F"/>
    <w:rsid w:val="00CC2E86"/>
    <w:rsid w:val="00CD4F17"/>
    <w:rsid w:val="00D51903"/>
    <w:rsid w:val="00DA7326"/>
    <w:rsid w:val="00DD5A75"/>
    <w:rsid w:val="00DF6643"/>
    <w:rsid w:val="00E10BBA"/>
    <w:rsid w:val="00E14C11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F7B1"/>
  <w15:docId w15:val="{AF4C8CFC-A2BE-44C1-8BF1-4F3BAB6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13</cp:revision>
  <cp:lastPrinted>2022-12-20T08:48:00Z</cp:lastPrinted>
  <dcterms:created xsi:type="dcterms:W3CDTF">2021-12-11T09:43:00Z</dcterms:created>
  <dcterms:modified xsi:type="dcterms:W3CDTF">2022-12-20T14:12:00Z</dcterms:modified>
</cp:coreProperties>
</file>