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B1C55" w14:textId="60EEE2F3" w:rsidR="001007BF" w:rsidRPr="006E0AFE" w:rsidRDefault="001007BF" w:rsidP="005D2E47">
      <w:pPr>
        <w:ind w:right="-926"/>
        <w:jc w:val="both"/>
        <w:rPr>
          <w:b/>
          <w:sz w:val="28"/>
          <w:szCs w:val="28"/>
          <w:lang w:eastAsia="en-US"/>
        </w:rPr>
      </w:pPr>
      <w:r w:rsidRPr="006E0AFE">
        <w:rPr>
          <w:iCs/>
          <w:szCs w:val="20"/>
        </w:rPr>
        <w:tab/>
      </w:r>
    </w:p>
    <w:p w14:paraId="171AC2B9" w14:textId="77777777" w:rsidR="0045274F" w:rsidRPr="006E0AFE" w:rsidRDefault="0045274F" w:rsidP="0045274F">
      <w:pPr>
        <w:jc w:val="center"/>
        <w:rPr>
          <w:b/>
          <w:color w:val="000000"/>
          <w:sz w:val="28"/>
          <w:szCs w:val="28"/>
          <w:lang w:eastAsia="en-US"/>
        </w:rPr>
      </w:pPr>
      <w:r w:rsidRPr="006E0AFE">
        <w:rPr>
          <w:b/>
          <w:color w:val="000000"/>
          <w:sz w:val="28"/>
          <w:szCs w:val="28"/>
          <w:lang w:eastAsia="en-US"/>
        </w:rPr>
        <w:t>OBRAZLOŽENJE</w:t>
      </w:r>
    </w:p>
    <w:p w14:paraId="78ACDE83" w14:textId="77777777" w:rsidR="0045274F" w:rsidRPr="006E0AFE" w:rsidRDefault="0045274F" w:rsidP="0045274F">
      <w:pPr>
        <w:jc w:val="center"/>
        <w:rPr>
          <w:b/>
          <w:color w:val="000000"/>
          <w:sz w:val="28"/>
          <w:szCs w:val="28"/>
          <w:lang w:eastAsia="en-US"/>
        </w:rPr>
      </w:pPr>
      <w:r w:rsidRPr="006E0AFE">
        <w:rPr>
          <w:b/>
          <w:color w:val="000000"/>
          <w:sz w:val="28"/>
          <w:szCs w:val="28"/>
          <w:lang w:eastAsia="en-US"/>
        </w:rPr>
        <w:t xml:space="preserve">PRIJEDLOGA PRORAČUNA OPĆINE MATULJI ZA 2021. </w:t>
      </w:r>
      <w:r w:rsidR="001B2F04" w:rsidRPr="006E0AFE">
        <w:rPr>
          <w:b/>
          <w:color w:val="000000"/>
          <w:sz w:val="28"/>
          <w:szCs w:val="28"/>
          <w:lang w:eastAsia="en-US"/>
        </w:rPr>
        <w:t>GODINU</w:t>
      </w:r>
    </w:p>
    <w:p w14:paraId="1AE14758" w14:textId="77777777" w:rsidR="0045274F" w:rsidRPr="006E0AFE" w:rsidRDefault="0045274F" w:rsidP="0045274F">
      <w:pPr>
        <w:jc w:val="center"/>
        <w:rPr>
          <w:b/>
          <w:color w:val="000000"/>
          <w:sz w:val="28"/>
          <w:szCs w:val="28"/>
          <w:lang w:eastAsia="en-US"/>
        </w:rPr>
      </w:pPr>
      <w:r w:rsidRPr="006E0AFE">
        <w:rPr>
          <w:b/>
          <w:color w:val="000000"/>
          <w:sz w:val="28"/>
          <w:szCs w:val="28"/>
          <w:lang w:eastAsia="en-US"/>
        </w:rPr>
        <w:t>I PROJEKCIJ</w:t>
      </w:r>
      <w:r w:rsidR="007071A1" w:rsidRPr="006E0AFE">
        <w:rPr>
          <w:b/>
          <w:color w:val="000000"/>
          <w:sz w:val="28"/>
          <w:szCs w:val="28"/>
          <w:lang w:eastAsia="en-US"/>
        </w:rPr>
        <w:t>A</w:t>
      </w:r>
      <w:r w:rsidRPr="006E0AFE">
        <w:rPr>
          <w:b/>
          <w:color w:val="000000"/>
          <w:sz w:val="28"/>
          <w:szCs w:val="28"/>
          <w:lang w:eastAsia="en-US"/>
        </w:rPr>
        <w:t xml:space="preserve"> ZA 2022. i 2023. GODINU</w:t>
      </w:r>
    </w:p>
    <w:p w14:paraId="4F7AC945" w14:textId="77777777" w:rsidR="0045274F" w:rsidRPr="006E0AFE" w:rsidRDefault="0045274F" w:rsidP="0045274F">
      <w:pPr>
        <w:ind w:firstLine="360"/>
        <w:jc w:val="both"/>
        <w:rPr>
          <w:b/>
          <w:color w:val="000000"/>
          <w:sz w:val="22"/>
          <w:szCs w:val="22"/>
          <w:lang w:eastAsia="en-US"/>
        </w:rPr>
      </w:pPr>
    </w:p>
    <w:p w14:paraId="34882ECA" w14:textId="77777777" w:rsidR="0045274F" w:rsidRPr="006E0AFE" w:rsidRDefault="0045274F" w:rsidP="0045274F">
      <w:pPr>
        <w:jc w:val="both"/>
        <w:rPr>
          <w:rFonts w:eastAsia="Calibri"/>
          <w:bCs/>
          <w:color w:val="000000"/>
        </w:rPr>
      </w:pPr>
      <w:r w:rsidRPr="006E0AFE">
        <w:rPr>
          <w:rFonts w:eastAsia="Calibri"/>
          <w:bCs/>
          <w:color w:val="000000"/>
        </w:rPr>
        <w:t>Glavne odrednice prijedloga Proračuna i Projekcij</w:t>
      </w:r>
      <w:r w:rsidR="00B94BCF" w:rsidRPr="006E0AFE">
        <w:rPr>
          <w:rFonts w:eastAsia="Calibri"/>
          <w:bCs/>
          <w:color w:val="000000"/>
        </w:rPr>
        <w:t>a</w:t>
      </w:r>
      <w:r w:rsidRPr="006E0AFE">
        <w:rPr>
          <w:rFonts w:eastAsia="Calibri"/>
          <w:bCs/>
          <w:color w:val="000000"/>
        </w:rPr>
        <w:t xml:space="preserve"> usklađene su sa strateškim ciljevima, prioritetima i mjerama definiranim Strateškim razvojnim programom Općine Matulji za razdoblje 2016.-2020. (Jačanje konkurentnosti poduzetništva, Osnaživanje kapaciteta Općine i Unaprjeđenje životnog standarda stanovnika) budući se izrada Strategije za iduće četverogodišnje razdoblje planira u 2021. godini..</w:t>
      </w:r>
    </w:p>
    <w:p w14:paraId="6777C33D" w14:textId="77777777" w:rsidR="0045274F" w:rsidRPr="006E0AFE" w:rsidRDefault="0045274F" w:rsidP="0045274F">
      <w:pPr>
        <w:jc w:val="both"/>
        <w:rPr>
          <w:rFonts w:eastAsia="Calibri"/>
          <w:bCs/>
          <w:color w:val="000000"/>
        </w:rPr>
      </w:pPr>
    </w:p>
    <w:p w14:paraId="7889DC6A" w14:textId="77777777" w:rsidR="0045274F" w:rsidRPr="006E0AFE" w:rsidRDefault="0045274F" w:rsidP="0045274F">
      <w:pPr>
        <w:jc w:val="both"/>
        <w:rPr>
          <w:color w:val="000000"/>
          <w:lang w:eastAsia="en-US"/>
        </w:rPr>
      </w:pPr>
      <w:r w:rsidRPr="006E0AFE">
        <w:rPr>
          <w:b/>
          <w:color w:val="000000"/>
        </w:rPr>
        <w:t>Nažalost</w:t>
      </w:r>
      <w:r w:rsidRPr="006E0AFE">
        <w:rPr>
          <w:b/>
          <w:color w:val="000000"/>
          <w:lang w:eastAsia="en-US"/>
        </w:rPr>
        <w:t xml:space="preserve"> planiranje prihoda i rashoda Proračuna i ove je godine bilo je znatno otežano</w:t>
      </w:r>
      <w:r w:rsidRPr="006E0AFE">
        <w:rPr>
          <w:color w:val="000000"/>
          <w:lang w:eastAsia="en-US"/>
        </w:rPr>
        <w:t xml:space="preserve">. Prvo iz razloga što se i nadalje nalazimo u posebnim okolnostima uzrokovanim bolesti </w:t>
      </w:r>
      <w:proofErr w:type="spellStart"/>
      <w:r w:rsidRPr="006E0AFE">
        <w:rPr>
          <w:color w:val="000000"/>
          <w:lang w:eastAsia="en-US"/>
        </w:rPr>
        <w:t>Covid</w:t>
      </w:r>
      <w:proofErr w:type="spellEnd"/>
      <w:r w:rsidRPr="006E0AFE">
        <w:rPr>
          <w:color w:val="000000"/>
          <w:lang w:eastAsia="en-US"/>
        </w:rPr>
        <w:t xml:space="preserve"> 19 te što nažalost nije moguće predvidjeti prestanak istih i vraćanje u „normalan život“ pa je tako teško predvidjeti učinke tih okolnosti po Proračun. Drugi razlozi leže u najavljenim izmjenama poreznih propisa (Zakon o porezu na dohodak,  Zakon o financiranju JLP(R)S) te propisima o ustroju JLS (Zakon o lokalnoj i područnoj samoupravi) čije bi stupanje na snagu imalo utjecaj i na prihode i na rashode proračuna JLS. </w:t>
      </w:r>
    </w:p>
    <w:p w14:paraId="5BD9C5DE" w14:textId="77777777" w:rsidR="0045274F" w:rsidRPr="006E0AFE" w:rsidRDefault="0045274F" w:rsidP="0045274F">
      <w:pPr>
        <w:jc w:val="both"/>
        <w:rPr>
          <w:color w:val="000000"/>
          <w:lang w:eastAsia="en-US"/>
        </w:rPr>
      </w:pPr>
    </w:p>
    <w:p w14:paraId="4C88BD20" w14:textId="77777777" w:rsidR="0045274F" w:rsidRPr="00845179" w:rsidRDefault="0045274F" w:rsidP="0045274F">
      <w:pPr>
        <w:jc w:val="both"/>
        <w:rPr>
          <w:rFonts w:eastAsia="Calibri"/>
          <w:bCs/>
          <w:color w:val="000000" w:themeColor="text1"/>
        </w:rPr>
      </w:pPr>
      <w:r w:rsidRPr="00845179">
        <w:rPr>
          <w:rFonts w:eastAsia="Calibri"/>
          <w:b/>
          <w:color w:val="000000" w:themeColor="text1"/>
        </w:rPr>
        <w:t>Prijedlogom Proračuna za 2021.</w:t>
      </w:r>
      <w:r w:rsidRPr="00845179">
        <w:rPr>
          <w:rFonts w:eastAsia="Calibri"/>
          <w:bCs/>
          <w:color w:val="000000" w:themeColor="text1"/>
        </w:rPr>
        <w:t xml:space="preserve"> </w:t>
      </w:r>
      <w:r w:rsidRPr="00845179">
        <w:rPr>
          <w:rFonts w:eastAsia="Calibri"/>
          <w:b/>
          <w:bCs/>
          <w:color w:val="000000" w:themeColor="text1"/>
        </w:rPr>
        <w:t>godinu</w:t>
      </w:r>
      <w:r w:rsidRPr="00845179">
        <w:rPr>
          <w:rFonts w:eastAsia="Calibri"/>
          <w:bCs/>
          <w:color w:val="000000" w:themeColor="text1"/>
        </w:rPr>
        <w:t xml:space="preserve"> prihodi su planirani na osnovi važećih visina i stopa lokalnih poreza</w:t>
      </w:r>
      <w:r w:rsidR="002148F4" w:rsidRPr="00845179">
        <w:rPr>
          <w:rFonts w:eastAsia="Calibri"/>
          <w:bCs/>
          <w:color w:val="000000" w:themeColor="text1"/>
        </w:rPr>
        <w:t xml:space="preserve">, </w:t>
      </w:r>
      <w:r w:rsidRPr="00845179">
        <w:rPr>
          <w:rFonts w:eastAsia="Calibri"/>
          <w:bCs/>
          <w:color w:val="000000" w:themeColor="text1"/>
        </w:rPr>
        <w:t>vrijednosti boda komunalne naknade, visini komunalnog doprinosa, zaključenih ugovora o zakupu i najmu stanova</w:t>
      </w:r>
      <w:r w:rsidR="002148F4" w:rsidRPr="00845179">
        <w:rPr>
          <w:rFonts w:eastAsia="Calibri"/>
          <w:bCs/>
          <w:color w:val="000000" w:themeColor="text1"/>
        </w:rPr>
        <w:t>,</w:t>
      </w:r>
      <w:r w:rsidRPr="00845179">
        <w:rPr>
          <w:rFonts w:eastAsia="Calibri"/>
          <w:bCs/>
          <w:color w:val="000000" w:themeColor="text1"/>
        </w:rPr>
        <w:t xml:space="preserve"> </w:t>
      </w:r>
      <w:r w:rsidR="002148F4" w:rsidRPr="00845179">
        <w:rPr>
          <w:rFonts w:eastAsia="Calibri"/>
          <w:bCs/>
          <w:color w:val="000000" w:themeColor="text1"/>
        </w:rPr>
        <w:t xml:space="preserve">kao i prijedloga izmjene odluke o lokalnim porezima u dijelu poreza na javne površine </w:t>
      </w:r>
      <w:r w:rsidRPr="00845179">
        <w:rPr>
          <w:rFonts w:eastAsia="Calibri"/>
          <w:bCs/>
          <w:color w:val="000000" w:themeColor="text1"/>
        </w:rPr>
        <w:t xml:space="preserve">i dr. Dakle, prijedlogom Proračuna i projekcijama </w:t>
      </w:r>
      <w:r w:rsidRPr="00845179">
        <w:rPr>
          <w:rFonts w:eastAsia="Calibri"/>
          <w:bCs/>
          <w:color w:val="000000" w:themeColor="text1"/>
          <w:u w:val="single"/>
        </w:rPr>
        <w:t>nisu planirana povećanja javnih davanja u nadležnosti Općine</w:t>
      </w:r>
      <w:r w:rsidRPr="00845179">
        <w:rPr>
          <w:rFonts w:eastAsia="Calibri"/>
          <w:bCs/>
          <w:color w:val="000000" w:themeColor="text1"/>
        </w:rPr>
        <w:t xml:space="preserve">, a ostali prihodi planirani su na osnovi važećih zakonskih propisa kao i nacrtu propisa koji se nalaze u proceduri i  kojima se regulira visina i raspodjela zajedničkih prihoda proračuna (porez na dohodak, boravišna pristojba, spomenička renta) kao i važećih odluka Općine Matulji i/ili zaključenih ugovora. </w:t>
      </w:r>
      <w:r w:rsidRPr="00845179">
        <w:rPr>
          <w:color w:val="000000" w:themeColor="text1"/>
          <w:lang w:eastAsia="en-US"/>
        </w:rPr>
        <w:t xml:space="preserve">Osim saznanja o sadržaju izmjena propisa vezanih uz oporezivanje dohotka koji se upravo nalaze u proceduri, Općina Matulji kao ni ostale JLS, nije raspolagala podacima o financijskim učincima tih izmjena. Stoga su prihodi od poreza, kao najizdašniji prihod proračuna Općine Matulji, (gotovo 50% prihoda) planirani na osnovi ostvarenja 2020. godine te vlastite procjene mogućih učinaka porezne reforme. </w:t>
      </w:r>
      <w:r w:rsidRPr="00845179">
        <w:rPr>
          <w:b/>
          <w:bCs/>
          <w:color w:val="000000" w:themeColor="text1"/>
          <w:lang w:eastAsia="en-US"/>
        </w:rPr>
        <w:t>Prihodi od prodaje imovine</w:t>
      </w:r>
      <w:r w:rsidRPr="00845179">
        <w:rPr>
          <w:color w:val="000000" w:themeColor="text1"/>
          <w:lang w:eastAsia="en-US"/>
        </w:rPr>
        <w:t xml:space="preserve"> </w:t>
      </w:r>
      <w:r w:rsidRPr="00845179">
        <w:rPr>
          <w:b/>
          <w:bCs/>
          <w:color w:val="000000" w:themeColor="text1"/>
          <w:lang w:eastAsia="en-US"/>
        </w:rPr>
        <w:t>za 2021. godinu</w:t>
      </w:r>
      <w:r w:rsidRPr="00845179">
        <w:rPr>
          <w:color w:val="000000" w:themeColor="text1"/>
          <w:lang w:eastAsia="en-US"/>
        </w:rPr>
        <w:t xml:space="preserve"> planirani su bitnome na osnovi izrađenih procjena vrijednosti dijela nekretnina Općine za koji je iskazan interes za kupnju. </w:t>
      </w:r>
    </w:p>
    <w:p w14:paraId="34CC488C" w14:textId="77777777" w:rsidR="0045274F" w:rsidRPr="006E0AFE" w:rsidRDefault="0045274F" w:rsidP="0045274F">
      <w:pPr>
        <w:jc w:val="both"/>
        <w:rPr>
          <w:color w:val="000000"/>
          <w:u w:val="single"/>
          <w:lang w:eastAsia="en-US"/>
        </w:rPr>
      </w:pPr>
    </w:p>
    <w:p w14:paraId="1C07E71F" w14:textId="77777777" w:rsidR="0045274F" w:rsidRPr="006E0AFE" w:rsidRDefault="0045274F" w:rsidP="0045274F">
      <w:pPr>
        <w:jc w:val="both"/>
        <w:rPr>
          <w:color w:val="000000"/>
          <w:lang w:eastAsia="en-US"/>
        </w:rPr>
      </w:pPr>
      <w:r w:rsidRPr="006E0AFE">
        <w:rPr>
          <w:color w:val="000000"/>
          <w:lang w:eastAsia="en-US"/>
        </w:rPr>
        <w:t xml:space="preserve">S druge strane, Općina je i nadalje snažno okrenuta drugim izvorima financiranja te su stoga u Proračunu za 2021. godinu i nadalje planirani </w:t>
      </w:r>
      <w:r w:rsidRPr="006E0AFE">
        <w:rPr>
          <w:b/>
          <w:bCs/>
          <w:color w:val="000000"/>
          <w:lang w:eastAsia="en-US"/>
        </w:rPr>
        <w:t>prihodi iz EU i nacionalnih fondova</w:t>
      </w:r>
      <w:r w:rsidRPr="006E0AFE">
        <w:rPr>
          <w:color w:val="000000"/>
          <w:lang w:eastAsia="en-US"/>
        </w:rPr>
        <w:t xml:space="preserve"> kao rezultat zaključenih ugovora krajem 2020. godine te planiranih prijava na natječaje za koje se očekuje raspisivanje u 2021. godini. </w:t>
      </w:r>
    </w:p>
    <w:p w14:paraId="763A55F1" w14:textId="77777777" w:rsidR="0045274F" w:rsidRPr="006E0AFE" w:rsidRDefault="0045274F" w:rsidP="0045274F">
      <w:pPr>
        <w:jc w:val="both"/>
        <w:rPr>
          <w:b/>
          <w:bCs/>
          <w:color w:val="000000"/>
          <w:u w:val="single"/>
          <w:lang w:eastAsia="en-US"/>
        </w:rPr>
      </w:pPr>
    </w:p>
    <w:p w14:paraId="36FFFBE8" w14:textId="77777777" w:rsidR="0045274F" w:rsidRPr="006E0AFE" w:rsidRDefault="0045274F" w:rsidP="0045274F">
      <w:pPr>
        <w:jc w:val="both"/>
        <w:rPr>
          <w:color w:val="000000"/>
          <w:lang w:eastAsia="en-US"/>
        </w:rPr>
      </w:pPr>
      <w:r w:rsidRPr="006E0AFE">
        <w:rPr>
          <w:b/>
          <w:bCs/>
          <w:color w:val="000000"/>
          <w:u w:val="single"/>
          <w:lang w:eastAsia="en-US"/>
        </w:rPr>
        <w:t>Projekcijom za 2022. i 2023. godinu</w:t>
      </w:r>
      <w:r w:rsidRPr="006E0AFE">
        <w:rPr>
          <w:color w:val="000000"/>
          <w:lang w:eastAsia="en-US"/>
        </w:rPr>
        <w:t xml:space="preserve"> planira se povećanje prihoda od poreza radi očekivanog rasta gospodarstva (iako još uvijek ne na razini 2019. godine), a time zaposlenosti i rasta plaća. Također se planira povećanje prihoda od komunalne naknade radi očekivane izgradnje novih objekata za koje se plaća komunalna naknada te učinkovitijim radom općinske uprave na naplati. Nadalje, projekcijom se planira značajan rast </w:t>
      </w:r>
      <w:r w:rsidRPr="006E0AFE">
        <w:rPr>
          <w:b/>
          <w:bCs/>
          <w:color w:val="000000"/>
          <w:lang w:eastAsia="en-US"/>
        </w:rPr>
        <w:t>prihoda od komunalnog doprinosa i prihoda od prodaje imovine</w:t>
      </w:r>
      <w:r w:rsidRPr="006E0AFE">
        <w:rPr>
          <w:color w:val="000000"/>
          <w:lang w:eastAsia="en-US"/>
        </w:rPr>
        <w:t xml:space="preserve"> što je povezano sa očekivanim aktiviranjem radnih zona te izgradnjom objekata poslovne namjene, a očekuje se i porast izgradnje objekata stambene namjene s obzirom da je Općina Matulji, uzimajući u obzir njen položaj, kao i druge prednosti, sve privlačnija za život. S time u vezi očekuje se povećani interes za kupnju zemljišta u vlasništvu Općine prvenstveno u radnim zonama, ali i u ostalim građevinskim područjima. U odnosu na važeću Projekciju, </w:t>
      </w:r>
      <w:bookmarkStart w:id="0" w:name="_Hlk55822017"/>
      <w:r w:rsidRPr="006E0AFE">
        <w:rPr>
          <w:color w:val="000000"/>
          <w:lang w:eastAsia="en-US"/>
        </w:rPr>
        <w:t xml:space="preserve">Projekcijom za 2022. i 2023.godinu </w:t>
      </w:r>
      <w:bookmarkEnd w:id="0"/>
      <w:r w:rsidRPr="006E0AFE">
        <w:rPr>
          <w:b/>
          <w:bCs/>
          <w:color w:val="000000"/>
          <w:lang w:eastAsia="en-US"/>
        </w:rPr>
        <w:t>ne planira se povećanje vrijednosti boda komunalne naknade</w:t>
      </w:r>
      <w:r w:rsidRPr="006E0AFE">
        <w:rPr>
          <w:color w:val="000000"/>
          <w:lang w:eastAsia="en-US"/>
        </w:rPr>
        <w:t>. Nadalje, Projekcijom za 2022. i 2023. godinu planira se nastavak korištenja prihoda iz fondova EU i nacionalnih fondova što je dijelom vezano uz očekivane benefite od ulaska u Urbanu aglomeraciju Rijeka za što vjerujemo da će Općinsko vijeće prihvatiti.</w:t>
      </w:r>
    </w:p>
    <w:p w14:paraId="156FC8C7" w14:textId="77777777" w:rsidR="0045274F" w:rsidRPr="006E0AFE" w:rsidRDefault="0045274F" w:rsidP="0045274F">
      <w:pPr>
        <w:jc w:val="both"/>
        <w:rPr>
          <w:rFonts w:eastAsia="Calibri"/>
          <w:color w:val="000000"/>
        </w:rPr>
      </w:pPr>
    </w:p>
    <w:p w14:paraId="7C76376E" w14:textId="77777777" w:rsidR="0045274F" w:rsidRPr="006E0AFE" w:rsidRDefault="0045274F" w:rsidP="0045274F">
      <w:pPr>
        <w:jc w:val="both"/>
        <w:rPr>
          <w:rFonts w:eastAsia="Calibri"/>
          <w:bCs/>
          <w:color w:val="000000"/>
        </w:rPr>
      </w:pPr>
      <w:r w:rsidRPr="006E0AFE">
        <w:rPr>
          <w:color w:val="000000"/>
        </w:rPr>
        <w:t>Unatoč opisanim ograničenjima na prihodovnoj strani</w:t>
      </w:r>
      <w:r w:rsidRPr="006E0AFE">
        <w:rPr>
          <w:rFonts w:eastAsia="Calibri"/>
          <w:color w:val="000000"/>
        </w:rPr>
        <w:t xml:space="preserve"> </w:t>
      </w:r>
      <w:r w:rsidR="008444F5" w:rsidRPr="006E0AFE">
        <w:rPr>
          <w:rFonts w:eastAsia="Calibri"/>
          <w:color w:val="000000"/>
        </w:rPr>
        <w:t>Prijedlog Proračuna i Projekcija u</w:t>
      </w:r>
      <w:r w:rsidRPr="006E0AFE">
        <w:rPr>
          <w:rFonts w:eastAsia="Calibri"/>
          <w:color w:val="000000"/>
        </w:rPr>
        <w:t xml:space="preserve"> bitnome sadrže </w:t>
      </w:r>
      <w:r w:rsidRPr="006E0AFE">
        <w:rPr>
          <w:rFonts w:eastAsia="Calibri"/>
          <w:b/>
          <w:color w:val="000000"/>
        </w:rPr>
        <w:t xml:space="preserve">nastavak kapitalnih investicija bitnih za daljnji razvoj Općine. </w:t>
      </w:r>
      <w:r w:rsidRPr="006E0AFE">
        <w:rPr>
          <w:rFonts w:eastAsia="Calibri"/>
          <w:bCs/>
          <w:color w:val="000000"/>
        </w:rPr>
        <w:t xml:space="preserve">Pri tome treba naglasiti da je 2020. godina bila godina brojnih investicija u društvenu infrastrukturu koje se dijelom nastavljaju i u 2021. godini, </w:t>
      </w:r>
      <w:r w:rsidRPr="006E0AFE">
        <w:rPr>
          <w:rFonts w:eastAsia="Calibri"/>
          <w:bCs/>
          <w:color w:val="000000"/>
        </w:rPr>
        <w:lastRenderedPageBreak/>
        <w:t xml:space="preserve">dok je </w:t>
      </w:r>
      <w:r w:rsidRPr="006E0AFE">
        <w:rPr>
          <w:rFonts w:eastAsia="Calibri"/>
          <w:b/>
          <w:color w:val="000000"/>
        </w:rPr>
        <w:t>2021. godina u kojoj se planiraju sredstva za značajna ulaganja prvenstveno u  komunalnu infrastr</w:t>
      </w:r>
      <w:r w:rsidR="008444F5" w:rsidRPr="006E0AFE">
        <w:rPr>
          <w:rFonts w:eastAsia="Calibri"/>
          <w:b/>
          <w:color w:val="000000"/>
        </w:rPr>
        <w:t xml:space="preserve">ukturu (prometnice) </w:t>
      </w:r>
      <w:r w:rsidRPr="006E0AFE">
        <w:rPr>
          <w:rFonts w:eastAsia="Calibri"/>
          <w:b/>
          <w:color w:val="000000"/>
        </w:rPr>
        <w:t xml:space="preserve">te u radnu zonu </w:t>
      </w:r>
      <w:proofErr w:type="spellStart"/>
      <w:r w:rsidRPr="006E0AFE">
        <w:rPr>
          <w:rFonts w:eastAsia="Calibri"/>
          <w:b/>
          <w:color w:val="000000"/>
        </w:rPr>
        <w:t>Miklavija</w:t>
      </w:r>
      <w:proofErr w:type="spellEnd"/>
      <w:r w:rsidRPr="006E0AFE">
        <w:rPr>
          <w:rFonts w:eastAsia="Calibri"/>
          <w:bCs/>
          <w:color w:val="000000"/>
        </w:rPr>
        <w:t>. Posebno ističemo da su tako prijedlogom Proračuna za</w:t>
      </w:r>
      <w:r w:rsidRPr="006E0AFE">
        <w:rPr>
          <w:rFonts w:eastAsia="Calibri"/>
          <w:b/>
          <w:color w:val="000000"/>
        </w:rPr>
        <w:t xml:space="preserve"> 2021. godinu </w:t>
      </w:r>
      <w:r w:rsidRPr="006E0AFE">
        <w:rPr>
          <w:rFonts w:eastAsia="Calibri"/>
          <w:bCs/>
          <w:color w:val="000000"/>
        </w:rPr>
        <w:t xml:space="preserve">planirana sredstva za izradu projektne dokumentacije, rješavanje imovinsko-pravnih odnosa te troškove gradnje većeg broja prometnica, zatim sredstva za obnovu javne rasvjete kroz zamjenu svih rasvjetnih tijela novije (LED) tehnologije uz značajne uštede u potrošnji električne energije te smanjenja onečišćenja. Pred toga planira se izgradnja odnosno proširenje groblja </w:t>
      </w:r>
      <w:proofErr w:type="spellStart"/>
      <w:r w:rsidRPr="006E0AFE">
        <w:rPr>
          <w:rFonts w:eastAsia="Calibri"/>
          <w:bCs/>
          <w:color w:val="000000"/>
        </w:rPr>
        <w:t>Brgud</w:t>
      </w:r>
      <w:proofErr w:type="spellEnd"/>
      <w:r w:rsidRPr="006E0AFE">
        <w:rPr>
          <w:rFonts w:eastAsia="Calibri"/>
          <w:bCs/>
          <w:color w:val="000000"/>
        </w:rPr>
        <w:t xml:space="preserve">, izgradnja igrališta u </w:t>
      </w:r>
      <w:proofErr w:type="spellStart"/>
      <w:r w:rsidRPr="006E0AFE">
        <w:rPr>
          <w:rFonts w:eastAsia="Calibri"/>
          <w:bCs/>
          <w:color w:val="000000"/>
        </w:rPr>
        <w:t>Bregima</w:t>
      </w:r>
      <w:proofErr w:type="spellEnd"/>
      <w:r w:rsidRPr="006E0AFE">
        <w:rPr>
          <w:color w:val="000000"/>
        </w:rPr>
        <w:t xml:space="preserve"> </w:t>
      </w:r>
      <w:r w:rsidRPr="006E0AFE">
        <w:rPr>
          <w:rFonts w:eastAsia="Calibri"/>
          <w:bCs/>
          <w:color w:val="000000"/>
        </w:rPr>
        <w:t xml:space="preserve">i igrališta u Jušićima. Osim toga, a vezano uz komunalnu infrastrukturu planirana su i sredstva potrebna za </w:t>
      </w:r>
      <w:proofErr w:type="spellStart"/>
      <w:r w:rsidRPr="006E0AFE">
        <w:rPr>
          <w:rFonts w:eastAsia="Calibri"/>
          <w:bCs/>
          <w:color w:val="000000"/>
        </w:rPr>
        <w:t>uris</w:t>
      </w:r>
      <w:proofErr w:type="spellEnd"/>
      <w:r w:rsidRPr="006E0AFE">
        <w:rPr>
          <w:rFonts w:eastAsia="Calibri"/>
          <w:bCs/>
          <w:color w:val="000000"/>
        </w:rPr>
        <w:t xml:space="preserve"> pojedine komunalne infrastrukture (prvenstveno nerazvrstanih cesta). Osim komunalne infrastrukture cilj je Općine ubrzati realizaciju radne zone </w:t>
      </w:r>
      <w:proofErr w:type="spellStart"/>
      <w:r w:rsidRPr="006E0AFE">
        <w:rPr>
          <w:rFonts w:eastAsia="Calibri"/>
          <w:bCs/>
          <w:color w:val="000000"/>
        </w:rPr>
        <w:t>Miklavija</w:t>
      </w:r>
      <w:proofErr w:type="spellEnd"/>
      <w:r w:rsidRPr="006E0AFE">
        <w:rPr>
          <w:rFonts w:eastAsia="Calibri"/>
          <w:bCs/>
          <w:color w:val="000000"/>
        </w:rPr>
        <w:t xml:space="preserve"> za što se planiraju značajnija sredstva u odnosu na prethodnu godinu namijenjena ravnanju novih platoa. Osim navedenih ulaganja u komunalnu infrastrukturu, u 2021. godini planiraju se sredstva za proširenje prostora škole u </w:t>
      </w:r>
      <w:proofErr w:type="spellStart"/>
      <w:r w:rsidRPr="006E0AFE">
        <w:rPr>
          <w:rFonts w:eastAsia="Calibri"/>
          <w:bCs/>
          <w:color w:val="000000"/>
        </w:rPr>
        <w:t>Brešcima</w:t>
      </w:r>
      <w:proofErr w:type="spellEnd"/>
      <w:r w:rsidRPr="006E0AFE">
        <w:rPr>
          <w:rFonts w:eastAsia="Calibri"/>
          <w:bCs/>
          <w:color w:val="000000"/>
        </w:rPr>
        <w:t xml:space="preserve"> (uređenje tavanskog prostora), sredstva za prvi dio radova na izgradnji dodatnih prostora uz Amfiteatar (javni </w:t>
      </w:r>
      <w:proofErr w:type="spellStart"/>
      <w:r w:rsidRPr="006E0AFE">
        <w:rPr>
          <w:rFonts w:eastAsia="Calibri"/>
          <w:bCs/>
          <w:color w:val="000000"/>
        </w:rPr>
        <w:t>wc-i</w:t>
      </w:r>
      <w:proofErr w:type="spellEnd"/>
      <w:r w:rsidRPr="006E0AFE">
        <w:rPr>
          <w:rFonts w:eastAsia="Calibri"/>
          <w:bCs/>
          <w:color w:val="000000"/>
        </w:rPr>
        <w:t xml:space="preserve">, svlačionice i prostor za pohranu opreme) te sredstva za dovršetak sanacije odlagališta otpada </w:t>
      </w:r>
      <w:proofErr w:type="spellStart"/>
      <w:r w:rsidRPr="006E0AFE">
        <w:rPr>
          <w:rFonts w:eastAsia="Calibri"/>
          <w:bCs/>
          <w:color w:val="000000"/>
        </w:rPr>
        <w:t>Osojnica</w:t>
      </w:r>
      <w:proofErr w:type="spellEnd"/>
      <w:r w:rsidRPr="006E0AFE">
        <w:rPr>
          <w:rFonts w:eastAsia="Calibri"/>
          <w:bCs/>
          <w:color w:val="000000"/>
        </w:rPr>
        <w:t xml:space="preserve"> </w:t>
      </w:r>
      <w:bookmarkStart w:id="1" w:name="_Hlk55887272"/>
      <w:r w:rsidRPr="006E0AFE">
        <w:rPr>
          <w:rFonts w:eastAsia="Calibri"/>
          <w:bCs/>
          <w:color w:val="000000"/>
        </w:rPr>
        <w:t xml:space="preserve">planirano za kraj ožujka 2021. godine. </w:t>
      </w:r>
    </w:p>
    <w:bookmarkEnd w:id="1"/>
    <w:p w14:paraId="5E397F8E" w14:textId="77777777" w:rsidR="0045274F" w:rsidRPr="006E0AFE" w:rsidRDefault="0045274F" w:rsidP="0045274F">
      <w:pPr>
        <w:jc w:val="both"/>
        <w:rPr>
          <w:rFonts w:eastAsia="Calibri"/>
          <w:bCs/>
          <w:color w:val="000000"/>
        </w:rPr>
      </w:pPr>
      <w:r w:rsidRPr="006E0AFE">
        <w:rPr>
          <w:rFonts w:eastAsia="Calibri"/>
          <w:bCs/>
          <w:color w:val="000000"/>
        </w:rPr>
        <w:t xml:space="preserve">S obzirom da raspoloživi tekući prihodi Proračuna ne omogućavaju da se napravi planirani iskorak u ulaganjima, ovim prijedlogom predviđeno je kreditno zaduženje Općine u ukupnoj vrijednosti od 26.000.000 kuna kao izvor financiranja izgradnje nerazvrstanih cesta, uređenja zemljišta u RZ </w:t>
      </w:r>
      <w:proofErr w:type="spellStart"/>
      <w:r w:rsidRPr="006E0AFE">
        <w:rPr>
          <w:rFonts w:eastAsia="Calibri"/>
          <w:bCs/>
          <w:color w:val="000000"/>
        </w:rPr>
        <w:t>Miklavija</w:t>
      </w:r>
      <w:proofErr w:type="spellEnd"/>
      <w:r w:rsidRPr="006E0AFE">
        <w:rPr>
          <w:rFonts w:eastAsia="Calibri"/>
          <w:bCs/>
          <w:color w:val="000000"/>
        </w:rPr>
        <w:t xml:space="preserve"> te za obnovu javne rasvjete. Navedeno se predlaže radi činjenice da su trenutno krediti i nadalje povoljni. Tako se za obnovu javne rasvjete predviđa podignuti kredit kod HBOR-a sa izuzetno niskom kamatnom stopom od 0,1%, a koji se planira u cijelosti otplaćivati iz ušteda odnosno budućih smanjenja troškova. S druge strane za troškove izgradnje nerazvrstanih cesta i ravnanje platoa u RZ </w:t>
      </w:r>
      <w:proofErr w:type="spellStart"/>
      <w:r w:rsidRPr="006E0AFE">
        <w:rPr>
          <w:rFonts w:eastAsia="Calibri"/>
          <w:bCs/>
          <w:color w:val="000000"/>
        </w:rPr>
        <w:t>Miklavija</w:t>
      </w:r>
      <w:proofErr w:type="spellEnd"/>
      <w:r w:rsidRPr="006E0AFE">
        <w:rPr>
          <w:rFonts w:eastAsia="Calibri"/>
          <w:bCs/>
          <w:color w:val="000000"/>
        </w:rPr>
        <w:t xml:space="preserve"> planira se podignuti investicijski kredit kod poslovne banke, također u okviru HBOR-ovih programa, sa kamatnom stopom ispod 2%. Ključno je da je početak otplate kredita za investicije u nerazvrstane ceste i RZ </w:t>
      </w:r>
      <w:proofErr w:type="spellStart"/>
      <w:r w:rsidRPr="006E0AFE">
        <w:rPr>
          <w:rFonts w:eastAsia="Calibri"/>
          <w:bCs/>
          <w:color w:val="000000"/>
        </w:rPr>
        <w:t>Miklavija</w:t>
      </w:r>
      <w:proofErr w:type="spellEnd"/>
      <w:r w:rsidRPr="006E0AFE">
        <w:rPr>
          <w:rFonts w:eastAsia="Calibri"/>
          <w:bCs/>
          <w:color w:val="000000"/>
        </w:rPr>
        <w:t xml:space="preserve"> predviđen za 2024. godinu kada će isteći krediti podignuti 2013. godine kao i obveze na ime jamstva društvu </w:t>
      </w:r>
      <w:proofErr w:type="spellStart"/>
      <w:r w:rsidRPr="006E0AFE">
        <w:rPr>
          <w:rFonts w:eastAsia="Calibri"/>
          <w:bCs/>
          <w:color w:val="000000"/>
        </w:rPr>
        <w:t>Liburnijske</w:t>
      </w:r>
      <w:proofErr w:type="spellEnd"/>
      <w:r w:rsidRPr="006E0AFE">
        <w:rPr>
          <w:rFonts w:eastAsia="Calibri"/>
          <w:bCs/>
          <w:color w:val="000000"/>
        </w:rPr>
        <w:t xml:space="preserve"> vode d.o.o.,  vodeći računa da stopa zaduženja bude na sadašnjoj razini, dok bi se kredit za obnovu javne rasvjete počeo otplaćivati u 2022. godini, što međutim ne bi predstavljalo opterećenje za Proračun budući će uštede kroz niže troškove prema projekciji biti više od obveza na ime otplate.</w:t>
      </w:r>
    </w:p>
    <w:p w14:paraId="5EDF4985" w14:textId="77777777" w:rsidR="0045274F" w:rsidRPr="006E0AFE" w:rsidRDefault="0045274F" w:rsidP="0045274F">
      <w:pPr>
        <w:jc w:val="both"/>
        <w:rPr>
          <w:rFonts w:eastAsia="Calibri"/>
          <w:b/>
          <w:color w:val="000000"/>
        </w:rPr>
      </w:pPr>
    </w:p>
    <w:p w14:paraId="3714527A" w14:textId="77777777" w:rsidR="0045274F" w:rsidRPr="006E0AFE" w:rsidRDefault="0045274F" w:rsidP="0045274F">
      <w:pPr>
        <w:jc w:val="both"/>
        <w:rPr>
          <w:rFonts w:eastAsia="Calibri"/>
          <w:bCs/>
          <w:color w:val="000000"/>
        </w:rPr>
      </w:pPr>
      <w:r w:rsidRPr="006E0AFE">
        <w:rPr>
          <w:rFonts w:eastAsia="Calibri"/>
          <w:b/>
          <w:color w:val="000000"/>
        </w:rPr>
        <w:t>U 2022. i 2023. godini</w:t>
      </w:r>
      <w:r w:rsidRPr="006E0AFE">
        <w:rPr>
          <w:rFonts w:eastAsia="Calibri"/>
          <w:bCs/>
          <w:color w:val="000000"/>
        </w:rPr>
        <w:t xml:space="preserve"> planirano je daljnje značajno ulaganje u komunalnu infrastrukturu (izgradnja prometnica, proširenje groblja Matulji te nastavak ulaganja u RZ </w:t>
      </w:r>
      <w:proofErr w:type="spellStart"/>
      <w:r w:rsidRPr="006E0AFE">
        <w:rPr>
          <w:rFonts w:eastAsia="Calibri"/>
          <w:bCs/>
          <w:color w:val="000000"/>
        </w:rPr>
        <w:t>Miklavija</w:t>
      </w:r>
      <w:proofErr w:type="spellEnd"/>
      <w:r w:rsidR="008444F5" w:rsidRPr="006E0AFE">
        <w:rPr>
          <w:rFonts w:eastAsia="Calibri"/>
          <w:bCs/>
          <w:color w:val="FF0000"/>
        </w:rPr>
        <w:t>)</w:t>
      </w:r>
      <w:r w:rsidRPr="006E0AFE">
        <w:rPr>
          <w:rFonts w:eastAsia="Calibri"/>
          <w:bCs/>
          <w:color w:val="000000"/>
        </w:rPr>
        <w:t xml:space="preserve">. Vezano uz ulaganja u RZ </w:t>
      </w:r>
      <w:proofErr w:type="spellStart"/>
      <w:r w:rsidRPr="006E0AFE">
        <w:rPr>
          <w:rFonts w:eastAsia="Calibri"/>
          <w:bCs/>
          <w:color w:val="000000"/>
        </w:rPr>
        <w:t>Miklavija</w:t>
      </w:r>
      <w:proofErr w:type="spellEnd"/>
      <w:r w:rsidRPr="006E0AFE">
        <w:rPr>
          <w:rFonts w:eastAsia="Calibri"/>
          <w:bCs/>
          <w:color w:val="000000"/>
        </w:rPr>
        <w:t>, proračun je planiran na osnovi ulaganja Općine kao nositelja, iako su mogući i drugi oblici upravljanja i ulaganja (vlastita tvrtka, koncesije i slično), o čemu se očekuje da tijekom 2021. godine bude donesena strateška odluka temeljem izrađenih studija.</w:t>
      </w:r>
    </w:p>
    <w:p w14:paraId="21ACE006" w14:textId="77777777" w:rsidR="0045274F" w:rsidRPr="006E0AFE" w:rsidRDefault="0045274F" w:rsidP="0045274F">
      <w:pPr>
        <w:jc w:val="both"/>
        <w:rPr>
          <w:rFonts w:eastAsia="Calibri"/>
          <w:bCs/>
          <w:color w:val="000000"/>
        </w:rPr>
      </w:pPr>
      <w:r w:rsidRPr="006E0AFE">
        <w:rPr>
          <w:rFonts w:eastAsia="Calibri"/>
          <w:bCs/>
          <w:color w:val="000000"/>
        </w:rPr>
        <w:t xml:space="preserve">Pored ulaganja u radnu zonu i komunalnu infrastrukturu Projekcijom za 2022. i 2023. godinu osigurana su sredstva i za investicije u dijelu društvene infrastrukture (energetska obnova škole u </w:t>
      </w:r>
      <w:proofErr w:type="spellStart"/>
      <w:r w:rsidRPr="006E0AFE">
        <w:rPr>
          <w:rFonts w:eastAsia="Calibri"/>
          <w:bCs/>
          <w:color w:val="000000"/>
        </w:rPr>
        <w:t>Brešcima</w:t>
      </w:r>
      <w:proofErr w:type="spellEnd"/>
      <w:r w:rsidRPr="006E0AFE">
        <w:rPr>
          <w:rFonts w:eastAsia="Calibri"/>
          <w:bCs/>
          <w:color w:val="000000"/>
        </w:rPr>
        <w:t xml:space="preserve"> i škole u Rupi, uređenje prostora dječjeg vrtića u </w:t>
      </w:r>
      <w:proofErr w:type="spellStart"/>
      <w:r w:rsidRPr="006E0AFE">
        <w:rPr>
          <w:rFonts w:eastAsia="Calibri"/>
          <w:bCs/>
          <w:color w:val="000000"/>
        </w:rPr>
        <w:t>Munama</w:t>
      </w:r>
      <w:proofErr w:type="spellEnd"/>
      <w:r w:rsidRPr="006E0AFE">
        <w:rPr>
          <w:rFonts w:eastAsia="Calibri"/>
          <w:bCs/>
          <w:color w:val="000000"/>
        </w:rPr>
        <w:t xml:space="preserve"> u sklopu društvenog doma, uređenje i energetsku obnovu Doma Hangar i drugih društvenih domova te drugi dio radova na izgradnji dodatnih prostora uz Amfiteatar u Matuljima).</w:t>
      </w:r>
    </w:p>
    <w:p w14:paraId="001B0785" w14:textId="77777777" w:rsidR="0045274F" w:rsidRPr="006E0AFE" w:rsidRDefault="0045274F" w:rsidP="0045274F">
      <w:pPr>
        <w:jc w:val="both"/>
        <w:rPr>
          <w:color w:val="000000"/>
        </w:rPr>
      </w:pPr>
    </w:p>
    <w:p w14:paraId="27FC3BC8" w14:textId="77777777" w:rsidR="0045274F" w:rsidRPr="006E0AFE" w:rsidRDefault="0045274F" w:rsidP="0045274F">
      <w:pPr>
        <w:jc w:val="both"/>
        <w:rPr>
          <w:color w:val="000000"/>
        </w:rPr>
      </w:pPr>
      <w:r w:rsidRPr="006E0AFE">
        <w:rPr>
          <w:color w:val="000000"/>
        </w:rPr>
        <w:t>Osim investicija, prijedlogom Proračuna i projekcijama planira se nastavak prilagodbe p</w:t>
      </w:r>
      <w:r w:rsidR="008444F5" w:rsidRPr="006E0AFE">
        <w:rPr>
          <w:color w:val="000000"/>
        </w:rPr>
        <w:t xml:space="preserve">rostorno-planske dokumentacije </w:t>
      </w:r>
      <w:r w:rsidRPr="006E0AFE">
        <w:rPr>
          <w:color w:val="000000"/>
        </w:rPr>
        <w:t xml:space="preserve">potrebama Općine pa tako ističemo da se u 2021. godini planira izrada V. izmjena i dopuna Prostornog plana uređenja Matulji (planiranje prostora za smještaj </w:t>
      </w:r>
      <w:proofErr w:type="spellStart"/>
      <w:r w:rsidRPr="006E0AFE">
        <w:rPr>
          <w:color w:val="000000"/>
        </w:rPr>
        <w:t>kompostane</w:t>
      </w:r>
      <w:proofErr w:type="spellEnd"/>
      <w:r w:rsidRPr="006E0AFE">
        <w:rPr>
          <w:color w:val="000000"/>
        </w:rPr>
        <w:t xml:space="preserve">), III. izmjena i dopuna Urbanističkog plana uređenja 1 Matulji (usklađenje s prostornim planom, korekcija prometnih rješenja) te Izmjena i dopuna UPU RZ 12 </w:t>
      </w:r>
      <w:proofErr w:type="spellStart"/>
      <w:r w:rsidRPr="006E0AFE">
        <w:rPr>
          <w:color w:val="000000"/>
        </w:rPr>
        <w:t>Miklavija</w:t>
      </w:r>
      <w:proofErr w:type="spellEnd"/>
      <w:r w:rsidRPr="006E0AFE">
        <w:rPr>
          <w:color w:val="000000"/>
        </w:rPr>
        <w:t xml:space="preserve"> dok se u 2022. i 2023. planira izrada urbanističkih planova.</w:t>
      </w:r>
    </w:p>
    <w:p w14:paraId="629AD95E" w14:textId="77777777" w:rsidR="002A1EDD" w:rsidRDefault="002A1EDD" w:rsidP="002A1EDD">
      <w:pPr>
        <w:jc w:val="both"/>
        <w:rPr>
          <w:lang w:eastAsia="en-US"/>
        </w:rPr>
      </w:pPr>
    </w:p>
    <w:p w14:paraId="120FF90B" w14:textId="56E241A6" w:rsidR="002A1EDD" w:rsidRPr="006E0AFE" w:rsidRDefault="002A1EDD" w:rsidP="002A1EDD">
      <w:pPr>
        <w:jc w:val="both"/>
        <w:rPr>
          <w:lang w:eastAsia="en-US"/>
        </w:rPr>
      </w:pPr>
      <w:r>
        <w:rPr>
          <w:lang w:eastAsia="en-US"/>
        </w:rPr>
        <w:t xml:space="preserve">Dakle </w:t>
      </w:r>
      <w:r w:rsidRPr="006E0AFE">
        <w:rPr>
          <w:lang w:eastAsia="en-US"/>
        </w:rPr>
        <w:t xml:space="preserve">Proračunom i projekcijom ulaganja u dugotrajnu imovinu u bitnom </w:t>
      </w:r>
      <w:r>
        <w:rPr>
          <w:lang w:eastAsia="en-US"/>
        </w:rPr>
        <w:t xml:space="preserve">se </w:t>
      </w:r>
      <w:r w:rsidRPr="006E0AFE">
        <w:rPr>
          <w:lang w:eastAsia="en-US"/>
        </w:rPr>
        <w:t xml:space="preserve">planiraju financirati iz kreditnog zaduženja, prihoda od prodaje imovine te prihoda od pomoći iz EU i nacionalnih fondova. </w:t>
      </w:r>
    </w:p>
    <w:p w14:paraId="128E1F8F" w14:textId="77777777" w:rsidR="0045274F" w:rsidRPr="006E0AFE" w:rsidRDefault="0045274F" w:rsidP="0045274F">
      <w:pPr>
        <w:jc w:val="both"/>
        <w:rPr>
          <w:rFonts w:eastAsia="Calibri"/>
          <w:b/>
          <w:bCs/>
          <w:color w:val="000000"/>
        </w:rPr>
      </w:pPr>
    </w:p>
    <w:p w14:paraId="715D5FC7" w14:textId="77777777" w:rsidR="0045274F" w:rsidRPr="006E0AFE" w:rsidRDefault="0045274F" w:rsidP="0045274F">
      <w:pPr>
        <w:jc w:val="both"/>
        <w:rPr>
          <w:rFonts w:eastAsia="Calibri"/>
          <w:color w:val="000000"/>
        </w:rPr>
      </w:pPr>
      <w:r w:rsidRPr="006E0AFE">
        <w:rPr>
          <w:rFonts w:eastAsia="Calibri"/>
          <w:b/>
          <w:bCs/>
          <w:color w:val="000000"/>
        </w:rPr>
        <w:t>Prijedlogom Proračuna i projekcijama</w:t>
      </w:r>
      <w:r w:rsidRPr="006E0AFE">
        <w:rPr>
          <w:rFonts w:eastAsia="Calibri"/>
          <w:color w:val="000000"/>
        </w:rPr>
        <w:t xml:space="preserve"> zadržano je i financiranje svih oblika i mjera pomoći te usluga namijenjenih građanima u okviru društvenih djelatnosti</w:t>
      </w:r>
      <w:r w:rsidRPr="006E0AFE">
        <w:rPr>
          <w:rFonts w:eastAsia="Calibri"/>
          <w:b/>
          <w:color w:val="000000"/>
        </w:rPr>
        <w:t xml:space="preserve">, </w:t>
      </w:r>
      <w:r w:rsidRPr="006E0AFE">
        <w:rPr>
          <w:rFonts w:eastAsia="Calibri"/>
          <w:color w:val="000000"/>
        </w:rPr>
        <w:t xml:space="preserve">a za određene aktivnosti predlaže se povećanje u odnosu na 2020. godinu. Tako su i ovim prijedlogom Proračuna za 2021. godinu planirana sredstva za sufinanciranje nabave radnih bilježnica </w:t>
      </w:r>
      <w:r w:rsidRPr="006E0AFE">
        <w:rPr>
          <w:rFonts w:eastAsia="Calibri"/>
          <w:b/>
          <w:bCs/>
          <w:color w:val="000000"/>
        </w:rPr>
        <w:t>za svu djecu</w:t>
      </w:r>
      <w:r w:rsidR="008444F5" w:rsidRPr="006E0AFE">
        <w:rPr>
          <w:rFonts w:eastAsia="Calibri"/>
          <w:color w:val="000000"/>
        </w:rPr>
        <w:t xml:space="preserve"> osnovno</w:t>
      </w:r>
      <w:r w:rsidRPr="006E0AFE">
        <w:rPr>
          <w:rFonts w:eastAsia="Calibri"/>
          <w:color w:val="000000"/>
        </w:rPr>
        <w:t xml:space="preserve">školskog uzrasta, a planira se povećanje </w:t>
      </w:r>
      <w:r w:rsidRPr="006E0AFE">
        <w:rPr>
          <w:rFonts w:eastAsia="Calibri"/>
          <w:color w:val="000000"/>
        </w:rPr>
        <w:lastRenderedPageBreak/>
        <w:t xml:space="preserve">izdvajanja za stipendije obzirom da se iste nisu mijenjale duži niz godina. Posebno je u dijelu društvenih djelatnosti potrebno izdvojiti tri projekta koja provodi Općina sa partnerima u oblasti socijalne skrbi koja su </w:t>
      </w:r>
      <w:r w:rsidRPr="006E0AFE">
        <w:rPr>
          <w:rFonts w:eastAsia="Calibri"/>
          <w:b/>
          <w:bCs/>
          <w:color w:val="000000"/>
        </w:rPr>
        <w:t>u cijelosti financirana sredstvima EU fondova</w:t>
      </w:r>
      <w:r w:rsidRPr="006E0AFE">
        <w:rPr>
          <w:rFonts w:eastAsia="Calibri"/>
          <w:color w:val="000000"/>
        </w:rPr>
        <w:t xml:space="preserve"> i nacionalnim </w:t>
      </w:r>
      <w:r w:rsidR="008444F5" w:rsidRPr="006E0AFE">
        <w:rPr>
          <w:rFonts w:eastAsia="Calibri"/>
          <w:color w:val="000000"/>
        </w:rPr>
        <w:t>sufinanciranjem, i to projekt „</w:t>
      </w:r>
      <w:r w:rsidRPr="006E0AFE">
        <w:rPr>
          <w:rFonts w:eastAsia="Calibri"/>
          <w:color w:val="000000"/>
        </w:rPr>
        <w:t>Pomoć u kući za naše starije i nemoćne osobe</w:t>
      </w:r>
      <w:r w:rsidR="008444F5" w:rsidRPr="006E0AFE">
        <w:rPr>
          <w:rFonts w:eastAsia="Calibri"/>
          <w:color w:val="000000"/>
        </w:rPr>
        <w:t>“</w:t>
      </w:r>
      <w:r w:rsidRPr="006E0AFE">
        <w:rPr>
          <w:rFonts w:eastAsia="Calibri"/>
          <w:color w:val="000000"/>
        </w:rPr>
        <w:t xml:space="preserve"> u vrijednosti od</w:t>
      </w:r>
      <w:r w:rsidR="008444F5" w:rsidRPr="006E0AFE">
        <w:rPr>
          <w:rFonts w:eastAsia="Calibri"/>
          <w:color w:val="000000"/>
        </w:rPr>
        <w:t xml:space="preserve"> 650.055,00 kn, zatim projekt „</w:t>
      </w:r>
      <w:r w:rsidRPr="006E0AFE">
        <w:rPr>
          <w:rFonts w:eastAsia="Calibri"/>
          <w:color w:val="000000"/>
        </w:rPr>
        <w:t xml:space="preserve">Mobilna terenska jedinica za </w:t>
      </w:r>
      <w:r w:rsidR="008444F5" w:rsidRPr="006E0AFE">
        <w:rPr>
          <w:rFonts w:eastAsia="Calibri"/>
          <w:color w:val="000000"/>
        </w:rPr>
        <w:t>starije osobe u Općini Matulji“</w:t>
      </w:r>
      <w:r w:rsidRPr="006E0AFE">
        <w:rPr>
          <w:rFonts w:eastAsia="Calibri"/>
          <w:color w:val="000000"/>
        </w:rPr>
        <w:t xml:space="preserve"> u vrijednost</w:t>
      </w:r>
      <w:r w:rsidR="008444F5" w:rsidRPr="006E0AFE">
        <w:rPr>
          <w:rFonts w:eastAsia="Calibri"/>
          <w:color w:val="000000"/>
        </w:rPr>
        <w:t>i od 945.380,00 kn te projekt „Aktivni umirovljenici - dugovječni stanovnici“</w:t>
      </w:r>
      <w:r w:rsidRPr="006E0AFE">
        <w:rPr>
          <w:rFonts w:eastAsia="Calibri"/>
          <w:color w:val="000000"/>
        </w:rPr>
        <w:t xml:space="preserve"> u vrijednosti od 1.929.422,39 kn. Prijedlogom proračuna za 2021. godinu te projekcijama za 2022. i 2023. godinu zadržavaju se i sve aktivnosti i projekti unutar javnih potreba u kulturi u dijelu organizacije važnih manifestacija Općine, financiranja programa koje provode udruge, obavljanje knjižnične djelatnosti, rad </w:t>
      </w:r>
      <w:r w:rsidR="008444F5" w:rsidRPr="006E0AFE">
        <w:rPr>
          <w:rFonts w:eastAsia="Calibri"/>
          <w:color w:val="000000"/>
        </w:rPr>
        <w:t>M</w:t>
      </w:r>
      <w:r w:rsidRPr="006E0AFE">
        <w:rPr>
          <w:rFonts w:eastAsia="Calibri"/>
          <w:color w:val="000000"/>
        </w:rPr>
        <w:t xml:space="preserve">uzeja u Lipi i ostalo. Također, treba istaknuti da se u 2021. godini planira realizacija projekta “Muzej izvan muzeja“ koji obuhvaća uređenje ruševina i vanjskog prostora u Lipi vrijednosti 600.000,00 kuna koji se planira u jednakim omjerima financirati zajedno sa Ministarstvom kulture i Županijom što je nastavak aktivnosti započete u 2020. godini. </w:t>
      </w:r>
    </w:p>
    <w:p w14:paraId="2630434A" w14:textId="77777777" w:rsidR="0045274F" w:rsidRPr="006E0AFE" w:rsidRDefault="0045274F" w:rsidP="0045274F">
      <w:pPr>
        <w:jc w:val="both"/>
        <w:rPr>
          <w:rFonts w:eastAsia="Calibri"/>
          <w:color w:val="000000"/>
        </w:rPr>
      </w:pPr>
      <w:r w:rsidRPr="006E0AFE">
        <w:rPr>
          <w:rFonts w:eastAsia="Calibri"/>
          <w:color w:val="000000"/>
        </w:rPr>
        <w:t>Potrebno je istaknuti da su sredstva za brojne programe u oblasti kulture i sporta koje provode udruge kao i aktivnosti koje provodi Općina planirana na razini 2020. godine, odnosno nešto niže nego ranijih godina uzimajući u obzir i niže proračunske prihode te posebice situaciju oko posebnih okolnosti u kojoj udruge nažalost ne mogu realizirati programe u planiranom obimu. Za 2022. te 2023. godinu planira se povećanje izdvajanja za te namjene budući se očekuje rast proračunskih prihoda u tim godinama.</w:t>
      </w:r>
    </w:p>
    <w:p w14:paraId="24923A3D" w14:textId="77777777" w:rsidR="0045274F" w:rsidRPr="006E0AFE" w:rsidRDefault="0045274F" w:rsidP="0045274F">
      <w:pPr>
        <w:jc w:val="both"/>
        <w:rPr>
          <w:b/>
          <w:bCs/>
          <w:color w:val="000000"/>
          <w:highlight w:val="yellow"/>
        </w:rPr>
      </w:pPr>
    </w:p>
    <w:p w14:paraId="18D0ED29" w14:textId="77777777" w:rsidR="0045274F" w:rsidRPr="006E0AFE" w:rsidRDefault="0045274F" w:rsidP="0045274F">
      <w:pPr>
        <w:jc w:val="both"/>
        <w:rPr>
          <w:color w:val="000000"/>
        </w:rPr>
      </w:pPr>
      <w:r w:rsidRPr="006E0AFE">
        <w:rPr>
          <w:b/>
          <w:bCs/>
          <w:color w:val="000000"/>
        </w:rPr>
        <w:t>Proračunom za 2021. godinu</w:t>
      </w:r>
      <w:r w:rsidR="00EF7F4F" w:rsidRPr="006E0AFE">
        <w:rPr>
          <w:color w:val="000000"/>
        </w:rPr>
        <w:t xml:space="preserve"> te projekcijama za 2022. i </w:t>
      </w:r>
      <w:r w:rsidRPr="006E0AFE">
        <w:rPr>
          <w:color w:val="000000"/>
        </w:rPr>
        <w:t>2023. godinu planirane su i nadalje potpore gospodarstvu osiguravanjem sredstava za subvencije poduzetnicima, poljoprivrednicima te za razvoj turizma.</w:t>
      </w:r>
    </w:p>
    <w:p w14:paraId="2226FDCF" w14:textId="77777777" w:rsidR="0045274F" w:rsidRPr="006E0AFE" w:rsidRDefault="0045274F" w:rsidP="0045274F">
      <w:pPr>
        <w:jc w:val="both"/>
        <w:rPr>
          <w:color w:val="000000"/>
        </w:rPr>
      </w:pPr>
      <w:r w:rsidRPr="006E0AFE">
        <w:rPr>
          <w:color w:val="000000"/>
        </w:rPr>
        <w:t xml:space="preserve">Planiraju se sredstva za funkcioniranje JVP Opatija u provedbi programa protupožarne zaštite temeljem prijedloga financijskog plana JVP Opatija. Prema tom planu za 2021. godinu planirana su sredstva na razini 2020. godine dok se za 2022. i 2023. planira povećanje radi početka otplate kredita za izgradnju vatrogasnog doma (prema projekciji kredit bi podigla JVP koja bi bila i investitor, a svaka JLS bi osiguravala sredstva za povrat glavnice i kamata). </w:t>
      </w:r>
    </w:p>
    <w:p w14:paraId="4CE3C5B7" w14:textId="77777777" w:rsidR="0045274F" w:rsidRPr="006E0AFE" w:rsidRDefault="0045274F" w:rsidP="0045274F">
      <w:pPr>
        <w:jc w:val="both"/>
        <w:rPr>
          <w:rFonts w:eastAsia="Calibri"/>
          <w:color w:val="000000"/>
        </w:rPr>
      </w:pPr>
      <w:r w:rsidRPr="006E0AFE">
        <w:rPr>
          <w:color w:val="000000"/>
        </w:rPr>
        <w:t>Prijedlogom Proračuna za 2021. i projekcijama za 2022. i 2023. godinu Općina i nadalje osigurava sredstva za subvenciju javnog prijevoza putnika. Proračunom za 2021. godinu u odnosu na 2020. planirana su sredstva isključivo za redovnu subvenciju na osnovi ovogodišnje budući još uvijek nije poznat rezultat poslovanja za 2020. godinu odnosno možebitni gubitak za što će se naknadno trebati osigurati sredstva. Prema posljednjim informacijama gubitak u 2020. godini ipak ne bi trebao biti značajan. U 2022. godini pored redovne subvencije planirana su sredstva za pokriće gubitka iz 2019. godine sukladno odluci Skupštine.</w:t>
      </w:r>
    </w:p>
    <w:p w14:paraId="5924DD50" w14:textId="77777777" w:rsidR="0045274F" w:rsidRPr="006E0AFE" w:rsidRDefault="0045274F" w:rsidP="0045274F">
      <w:pPr>
        <w:jc w:val="both"/>
        <w:rPr>
          <w:rFonts w:eastAsia="Calibri"/>
          <w:color w:val="000000"/>
          <w:lang w:eastAsia="en-US"/>
        </w:rPr>
      </w:pPr>
    </w:p>
    <w:p w14:paraId="764B2C1D" w14:textId="77777777" w:rsidR="0045274F" w:rsidRPr="006E0AFE" w:rsidRDefault="0045274F" w:rsidP="0045274F">
      <w:pPr>
        <w:jc w:val="both"/>
        <w:rPr>
          <w:rFonts w:eastAsia="Calibri"/>
          <w:color w:val="000000"/>
          <w:lang w:eastAsia="en-US"/>
        </w:rPr>
      </w:pPr>
      <w:r w:rsidRPr="006E0AFE">
        <w:rPr>
          <w:rFonts w:eastAsia="Calibri"/>
          <w:color w:val="000000"/>
          <w:lang w:eastAsia="en-US"/>
        </w:rPr>
        <w:t xml:space="preserve">Prijedlogom Proračuna i Projekcija sredstva za plaće i naknade (Općinska uprava, Proračunski korisnik Dječji vrtić te dužnosnici i vijećnici) planirana su na osnovi važećih koeficijenata i osnovica te odredbi Zakona. Iako je važećom projekcijom za 2021. godinu bilo planirano povećanje plaća za stručne službe općinske uprave, uvažavajući situaciju oko posebnih okolnosti uzrokovanih </w:t>
      </w:r>
      <w:proofErr w:type="spellStart"/>
      <w:r w:rsidRPr="006E0AFE">
        <w:rPr>
          <w:rFonts w:eastAsia="Calibri"/>
          <w:color w:val="000000"/>
          <w:lang w:eastAsia="en-US"/>
        </w:rPr>
        <w:t>koronavirusom</w:t>
      </w:r>
      <w:proofErr w:type="spellEnd"/>
      <w:r w:rsidRPr="006E0AFE">
        <w:rPr>
          <w:rFonts w:eastAsia="Calibri"/>
          <w:color w:val="000000"/>
          <w:lang w:eastAsia="en-US"/>
        </w:rPr>
        <w:t xml:space="preserve"> te neizvjesnost koju iste donose po gospodarstvo, planirano povećanje plaća koje značajno zaostaju za okruženjem, pomaknuto je za 2022. godinu. Što se tiče dužnosnika te naknada vijećnika i političkih stranaka visina sredstava je predviđena na osnovi sadašnjeg broja dužnosnika i vijećnika budući da najavljeni Zakon nije još donesen. Stoga će ovisno o konačnom tekstu zakona te rezultatima lokalnih izbora biti poznata visina sredstava potrebna za 2021. godinu kao i za naredne dvije godine, što će se uskladiti kod prvih izmjena Proračuna.</w:t>
      </w:r>
    </w:p>
    <w:p w14:paraId="3CE83D83" w14:textId="77777777" w:rsidR="0045274F" w:rsidRPr="006E0AFE" w:rsidRDefault="0045274F" w:rsidP="0045274F">
      <w:pPr>
        <w:jc w:val="both"/>
        <w:rPr>
          <w:color w:val="000000"/>
          <w:lang w:eastAsia="en-US"/>
        </w:rPr>
      </w:pPr>
    </w:p>
    <w:p w14:paraId="348C9080" w14:textId="77777777" w:rsidR="0045274F" w:rsidRPr="006E0AFE" w:rsidRDefault="0045274F" w:rsidP="0045274F">
      <w:pPr>
        <w:jc w:val="both"/>
        <w:rPr>
          <w:color w:val="000000"/>
          <w:lang w:eastAsia="en-US"/>
        </w:rPr>
      </w:pPr>
      <w:r w:rsidRPr="006E0AFE">
        <w:rPr>
          <w:color w:val="000000"/>
          <w:lang w:eastAsia="en-US"/>
        </w:rPr>
        <w:t xml:space="preserve">Također, bitno je istaknuti da je u Proračun </w:t>
      </w:r>
      <w:r w:rsidRPr="006E0AFE">
        <w:rPr>
          <w:b/>
          <w:color w:val="000000"/>
          <w:lang w:eastAsia="en-US"/>
        </w:rPr>
        <w:t xml:space="preserve">u cijelosti uključen financijski plan Proračunskog korisnika </w:t>
      </w:r>
      <w:r w:rsidRPr="006E0AFE">
        <w:rPr>
          <w:color w:val="000000"/>
          <w:lang w:eastAsia="en-US"/>
        </w:rPr>
        <w:t xml:space="preserve">Dječji vrtić Matulji kao i planovi Mjesnih odbora odnosno u Proračunu su prikazani vlastiti prihodi proračunskih korisnika te rashodi proračunskih korisnika koji se financiraju iz tih prihoda. </w:t>
      </w:r>
    </w:p>
    <w:p w14:paraId="0F904409" w14:textId="77777777" w:rsidR="0045274F" w:rsidRPr="006E0AFE" w:rsidRDefault="0045274F" w:rsidP="0045274F">
      <w:pPr>
        <w:jc w:val="both"/>
        <w:rPr>
          <w:color w:val="000000"/>
          <w:lang w:eastAsia="en-US"/>
        </w:rPr>
      </w:pPr>
      <w:r w:rsidRPr="006E0AFE">
        <w:rPr>
          <w:color w:val="000000"/>
          <w:lang w:eastAsia="en-US"/>
        </w:rPr>
        <w:t xml:space="preserve">Valja istaknuti da se učešće Općine u rashodima Dječjeg vrtića povećava u odnosu na 2020. godinu što se prvenstveno odnosi na činjenicu da se Projekt Smjenski rad nastavlja bez financiranja iz EU jer ugovoreno financiranje istječe u ožujku mjesecu 2021. godine. Međutim, Općina i Dječji vrtić očekuju da će se </w:t>
      </w:r>
      <w:r w:rsidRPr="006E0AFE">
        <w:rPr>
          <w:color w:val="000000"/>
          <w:lang w:eastAsia="en-US"/>
        </w:rPr>
        <w:lastRenderedPageBreak/>
        <w:t xml:space="preserve">raspisati novi natječaj za sufinanciranje na koji se planira aplicirati te time, ako se odobri, rasteretiti proračunske prihode. </w:t>
      </w:r>
    </w:p>
    <w:p w14:paraId="2C8ED653" w14:textId="394DA79E" w:rsidR="0045274F" w:rsidRDefault="0045274F" w:rsidP="00A31DD1">
      <w:pPr>
        <w:jc w:val="both"/>
        <w:rPr>
          <w:b/>
          <w:lang w:eastAsia="en-US"/>
        </w:rPr>
      </w:pPr>
    </w:p>
    <w:p w14:paraId="7324323C" w14:textId="2E264B54" w:rsidR="002A1EDD" w:rsidRPr="006E0AFE" w:rsidRDefault="002A1EDD" w:rsidP="00A31DD1">
      <w:pPr>
        <w:jc w:val="both"/>
        <w:rPr>
          <w:b/>
          <w:lang w:eastAsia="en-US"/>
        </w:rPr>
      </w:pPr>
      <w:r>
        <w:rPr>
          <w:b/>
          <w:lang w:eastAsia="en-US"/>
        </w:rPr>
        <w:t>Prema prijedlogu Proračun Općine Matulji za 2021.godinu iznosio bi 92.649.830 kuna.</w:t>
      </w:r>
    </w:p>
    <w:p w14:paraId="42D371CD" w14:textId="77777777" w:rsidR="00F91A17" w:rsidRPr="006E0AFE" w:rsidRDefault="00F91A17" w:rsidP="00C03098">
      <w:pPr>
        <w:jc w:val="both"/>
        <w:rPr>
          <w:rFonts w:eastAsia="Calibri"/>
          <w:highlight w:val="yellow"/>
        </w:rPr>
      </w:pPr>
    </w:p>
    <w:p w14:paraId="44C1ADC6" w14:textId="75790774" w:rsidR="00A31DD1" w:rsidRPr="006E0AFE" w:rsidRDefault="00A31DD1" w:rsidP="00C03098">
      <w:pPr>
        <w:jc w:val="both"/>
        <w:rPr>
          <w:rFonts w:eastAsia="Calibri"/>
        </w:rPr>
      </w:pPr>
      <w:r w:rsidRPr="006E0AFE">
        <w:rPr>
          <w:rFonts w:eastAsia="Calibri"/>
        </w:rPr>
        <w:t xml:space="preserve">Uzimajući u obzir ukupno planiranu visinu </w:t>
      </w:r>
      <w:r w:rsidRPr="006E0AFE">
        <w:rPr>
          <w:rFonts w:eastAsia="Calibri"/>
          <w:b/>
        </w:rPr>
        <w:t xml:space="preserve">Proračuna za </w:t>
      </w:r>
      <w:r w:rsidR="00055F66" w:rsidRPr="006E0AFE">
        <w:rPr>
          <w:rFonts w:eastAsia="Calibri"/>
          <w:b/>
        </w:rPr>
        <w:t>2021</w:t>
      </w:r>
      <w:r w:rsidRPr="006E0AFE">
        <w:rPr>
          <w:rFonts w:eastAsia="Calibri"/>
          <w:b/>
        </w:rPr>
        <w:t>.</w:t>
      </w:r>
      <w:r w:rsidR="001B2F04" w:rsidRPr="006E0AFE">
        <w:rPr>
          <w:rFonts w:eastAsia="Calibri"/>
          <w:b/>
        </w:rPr>
        <w:t xml:space="preserve"> </w:t>
      </w:r>
      <w:r w:rsidRPr="006E0AFE">
        <w:rPr>
          <w:rFonts w:eastAsia="Calibri"/>
          <w:b/>
        </w:rPr>
        <w:t xml:space="preserve">godinu </w:t>
      </w:r>
      <w:r w:rsidRPr="006E0AFE">
        <w:rPr>
          <w:rFonts w:eastAsia="Calibri"/>
        </w:rPr>
        <w:t xml:space="preserve">isti je u odnosu na ovogodišnji Proračun nominalno niži za </w:t>
      </w:r>
      <w:r w:rsidR="001B2F04" w:rsidRPr="006E0AFE">
        <w:rPr>
          <w:rFonts w:eastAsia="Calibri"/>
        </w:rPr>
        <w:t>-</w:t>
      </w:r>
      <w:r w:rsidR="00FF0CDE" w:rsidRPr="006E0AFE">
        <w:rPr>
          <w:rFonts w:eastAsia="Calibri"/>
        </w:rPr>
        <w:t>20,3</w:t>
      </w:r>
      <w:r w:rsidRPr="006E0AFE">
        <w:rPr>
          <w:rFonts w:eastAsia="Calibri"/>
        </w:rPr>
        <w:t xml:space="preserve">% prvenstveno </w:t>
      </w:r>
      <w:r w:rsidR="00732117" w:rsidRPr="006E0AFE">
        <w:rPr>
          <w:rFonts w:eastAsia="Calibri"/>
        </w:rPr>
        <w:t>radi nižih rashoda za nabavku dugotrajne imovine</w:t>
      </w:r>
      <w:r w:rsidR="009B6D99" w:rsidRPr="006E0AFE">
        <w:rPr>
          <w:rFonts w:eastAsia="Calibri"/>
        </w:rPr>
        <w:t xml:space="preserve"> u odnosu na </w:t>
      </w:r>
      <w:r w:rsidR="00055F66" w:rsidRPr="006E0AFE">
        <w:rPr>
          <w:rFonts w:eastAsia="Calibri"/>
        </w:rPr>
        <w:t>2020</w:t>
      </w:r>
      <w:r w:rsidR="009B6D99" w:rsidRPr="006E0AFE">
        <w:rPr>
          <w:rFonts w:eastAsia="Calibri"/>
        </w:rPr>
        <w:t>.</w:t>
      </w:r>
      <w:r w:rsidR="00EF7F4F" w:rsidRPr="006E0AFE">
        <w:rPr>
          <w:rFonts w:eastAsia="Calibri"/>
        </w:rPr>
        <w:t xml:space="preserve"> </w:t>
      </w:r>
      <w:r w:rsidR="009B6D99" w:rsidRPr="006E0AFE">
        <w:rPr>
          <w:rFonts w:eastAsia="Calibri"/>
        </w:rPr>
        <w:t>godinu</w:t>
      </w:r>
      <w:r w:rsidR="00303FD2" w:rsidRPr="006E0AFE">
        <w:rPr>
          <w:rFonts w:eastAsia="Calibri"/>
        </w:rPr>
        <w:t xml:space="preserve"> iako su takve usporedbe nezahvalne. Naime</w:t>
      </w:r>
      <w:r w:rsidR="00EF7F4F" w:rsidRPr="006E0AFE">
        <w:rPr>
          <w:rFonts w:eastAsia="Calibri"/>
        </w:rPr>
        <w:t>,</w:t>
      </w:r>
      <w:r w:rsidR="00303FD2" w:rsidRPr="006E0AFE">
        <w:rPr>
          <w:rFonts w:eastAsia="Calibri"/>
        </w:rPr>
        <w:t xml:space="preserve"> važeći proračun za 2020.godinu uključuje vrijednosti investicija koje su započele i izvorno bile planirane proračunom za 2019.</w:t>
      </w:r>
      <w:r w:rsidR="00EF7F4F" w:rsidRPr="006E0AFE">
        <w:rPr>
          <w:rFonts w:eastAsia="Calibri"/>
        </w:rPr>
        <w:t xml:space="preserve"> </w:t>
      </w:r>
      <w:r w:rsidR="00303FD2" w:rsidRPr="006E0AFE">
        <w:rPr>
          <w:rFonts w:eastAsia="Calibri"/>
        </w:rPr>
        <w:t>godinu</w:t>
      </w:r>
      <w:r w:rsidR="0045274F" w:rsidRPr="006E0AFE">
        <w:rPr>
          <w:rFonts w:eastAsia="Calibri"/>
        </w:rPr>
        <w:t xml:space="preserve">. </w:t>
      </w:r>
      <w:r w:rsidR="00303FD2" w:rsidRPr="006E0AFE">
        <w:rPr>
          <w:rFonts w:eastAsia="Calibri"/>
        </w:rPr>
        <w:t xml:space="preserve"> </w:t>
      </w:r>
      <w:r w:rsidRPr="006E0AFE">
        <w:rPr>
          <w:rFonts w:eastAsia="Calibri"/>
        </w:rPr>
        <w:t xml:space="preserve"> Kada bi se uspoređivao prijedlog Proračuna za </w:t>
      </w:r>
      <w:r w:rsidR="00055F66" w:rsidRPr="006E0AFE">
        <w:rPr>
          <w:rFonts w:eastAsia="Calibri"/>
        </w:rPr>
        <w:t>2021</w:t>
      </w:r>
      <w:r w:rsidRPr="006E0AFE">
        <w:rPr>
          <w:rFonts w:eastAsia="Calibri"/>
        </w:rPr>
        <w:t>.</w:t>
      </w:r>
      <w:r w:rsidR="00EF7F4F" w:rsidRPr="006E0AFE">
        <w:rPr>
          <w:rFonts w:eastAsia="Calibri"/>
        </w:rPr>
        <w:t xml:space="preserve"> </w:t>
      </w:r>
      <w:r w:rsidRPr="006E0AFE">
        <w:rPr>
          <w:rFonts w:eastAsia="Calibri"/>
        </w:rPr>
        <w:t xml:space="preserve">godinu sa važećim Proračunom za </w:t>
      </w:r>
      <w:r w:rsidR="00055F66" w:rsidRPr="006E0AFE">
        <w:rPr>
          <w:rFonts w:eastAsia="Calibri"/>
        </w:rPr>
        <w:t>2020</w:t>
      </w:r>
      <w:r w:rsidRPr="006E0AFE">
        <w:rPr>
          <w:rFonts w:eastAsia="Calibri"/>
        </w:rPr>
        <w:t>.</w:t>
      </w:r>
      <w:r w:rsidR="00EF7F4F" w:rsidRPr="006E0AFE">
        <w:rPr>
          <w:rFonts w:eastAsia="Calibri"/>
        </w:rPr>
        <w:t xml:space="preserve"> </w:t>
      </w:r>
      <w:r w:rsidRPr="006E0AFE">
        <w:rPr>
          <w:rFonts w:eastAsia="Calibri"/>
        </w:rPr>
        <w:t xml:space="preserve">godinu </w:t>
      </w:r>
      <w:r w:rsidR="009B6D99" w:rsidRPr="006E0AFE">
        <w:rPr>
          <w:rFonts w:eastAsia="Calibri"/>
        </w:rPr>
        <w:t xml:space="preserve">isključivo na </w:t>
      </w:r>
      <w:r w:rsidR="00D009C9" w:rsidRPr="006E0AFE">
        <w:rPr>
          <w:rFonts w:eastAsia="Calibri"/>
        </w:rPr>
        <w:t xml:space="preserve">razini rashoda </w:t>
      </w:r>
      <w:r w:rsidR="009B6D99" w:rsidRPr="006E0AFE">
        <w:rPr>
          <w:rFonts w:eastAsia="Calibri"/>
        </w:rPr>
        <w:t>poslovanja (bez rashoda za nabavku dugotrajne imovine i</w:t>
      </w:r>
      <w:r w:rsidR="00D009C9" w:rsidRPr="006E0AFE">
        <w:rPr>
          <w:rFonts w:eastAsia="Calibri"/>
        </w:rPr>
        <w:t xml:space="preserve"> </w:t>
      </w:r>
      <w:r w:rsidRPr="006E0AFE">
        <w:rPr>
          <w:rFonts w:eastAsia="Calibri"/>
        </w:rPr>
        <w:t xml:space="preserve">bez </w:t>
      </w:r>
      <w:r w:rsidR="00D009C9" w:rsidRPr="006E0AFE">
        <w:rPr>
          <w:rFonts w:eastAsia="Calibri"/>
        </w:rPr>
        <w:t>izdataka</w:t>
      </w:r>
      <w:r w:rsidR="009B6D99" w:rsidRPr="006E0AFE">
        <w:rPr>
          <w:rFonts w:eastAsia="Calibri"/>
        </w:rPr>
        <w:t>)</w:t>
      </w:r>
      <w:r w:rsidRPr="006E0AFE">
        <w:rPr>
          <w:rFonts w:eastAsia="Calibri"/>
        </w:rPr>
        <w:t xml:space="preserve">, Proračun za </w:t>
      </w:r>
      <w:r w:rsidR="00055F66" w:rsidRPr="006E0AFE">
        <w:rPr>
          <w:rFonts w:eastAsia="Calibri"/>
        </w:rPr>
        <w:t>2021</w:t>
      </w:r>
      <w:r w:rsidR="00B3044C" w:rsidRPr="006E0AFE">
        <w:rPr>
          <w:rFonts w:eastAsia="Calibri"/>
        </w:rPr>
        <w:t xml:space="preserve">. </w:t>
      </w:r>
      <w:r w:rsidRPr="006E0AFE">
        <w:rPr>
          <w:rFonts w:eastAsia="Calibri"/>
        </w:rPr>
        <w:t xml:space="preserve">godinu bio bi u odnosu na </w:t>
      </w:r>
      <w:r w:rsidR="00055F66" w:rsidRPr="006E0AFE">
        <w:rPr>
          <w:rFonts w:eastAsia="Calibri"/>
        </w:rPr>
        <w:t>2020</w:t>
      </w:r>
      <w:r w:rsidRPr="006E0AFE">
        <w:rPr>
          <w:rFonts w:eastAsia="Calibri"/>
        </w:rPr>
        <w:t>.</w:t>
      </w:r>
      <w:r w:rsidR="0022593E" w:rsidRPr="006E0AFE">
        <w:rPr>
          <w:rFonts w:eastAsia="Calibri"/>
        </w:rPr>
        <w:t xml:space="preserve"> </w:t>
      </w:r>
      <w:r w:rsidRPr="006E0AFE">
        <w:rPr>
          <w:rFonts w:eastAsia="Calibri"/>
        </w:rPr>
        <w:t xml:space="preserve">niži za </w:t>
      </w:r>
      <w:r w:rsidR="00303FD2" w:rsidRPr="006E0AFE">
        <w:rPr>
          <w:rFonts w:eastAsia="Calibri"/>
        </w:rPr>
        <w:t>4,6%</w:t>
      </w:r>
      <w:r w:rsidRPr="006E0AFE">
        <w:rPr>
          <w:rFonts w:eastAsia="Calibri"/>
        </w:rPr>
        <w:t>.</w:t>
      </w:r>
      <w:r w:rsidR="0045274F" w:rsidRPr="006E0AFE">
        <w:rPr>
          <w:rFonts w:eastAsia="Calibri"/>
        </w:rPr>
        <w:t xml:space="preserve"> Naime</w:t>
      </w:r>
      <w:r w:rsidR="00EF7F4F" w:rsidRPr="006E0AFE">
        <w:rPr>
          <w:rFonts w:eastAsia="Calibri"/>
        </w:rPr>
        <w:t>,</w:t>
      </w:r>
      <w:r w:rsidR="0045274F" w:rsidRPr="006E0AFE">
        <w:rPr>
          <w:rFonts w:eastAsia="Calibri"/>
        </w:rPr>
        <w:t xml:space="preserve"> u Proračunu za 2020.</w:t>
      </w:r>
      <w:r w:rsidR="00EF7F4F" w:rsidRPr="006E0AFE">
        <w:rPr>
          <w:rFonts w:eastAsia="Calibri"/>
        </w:rPr>
        <w:t xml:space="preserve"> godinu </w:t>
      </w:r>
      <w:r w:rsidR="0045274F" w:rsidRPr="006E0AFE">
        <w:rPr>
          <w:rFonts w:eastAsia="Calibri"/>
        </w:rPr>
        <w:t>značajan dio rashoda za nabavku dugotrajne imovine činili su rashodi vez</w:t>
      </w:r>
      <w:r w:rsidR="00AA1D30" w:rsidRPr="006E0AFE">
        <w:rPr>
          <w:rFonts w:eastAsia="Calibri"/>
        </w:rPr>
        <w:t>a</w:t>
      </w:r>
      <w:r w:rsidR="0045274F" w:rsidRPr="006E0AFE">
        <w:rPr>
          <w:rFonts w:eastAsia="Calibri"/>
        </w:rPr>
        <w:t>ni uz vrijednosno najznačajniju investiciju</w:t>
      </w:r>
      <w:r w:rsidR="00AA1D30" w:rsidRPr="006E0AFE">
        <w:rPr>
          <w:rFonts w:eastAsia="Calibri"/>
        </w:rPr>
        <w:t xml:space="preserve"> Općine u proteklih nekoliko godina sanaciju odlagališta otpada </w:t>
      </w:r>
      <w:proofErr w:type="spellStart"/>
      <w:r w:rsidR="00AA1D30" w:rsidRPr="006E0AFE">
        <w:rPr>
          <w:rFonts w:eastAsia="Calibri"/>
        </w:rPr>
        <w:t>Osojn</w:t>
      </w:r>
      <w:r w:rsidR="00EF7F4F" w:rsidRPr="006E0AFE">
        <w:rPr>
          <w:rFonts w:eastAsia="Calibri"/>
        </w:rPr>
        <w:t>ica</w:t>
      </w:r>
      <w:proofErr w:type="spellEnd"/>
      <w:r w:rsidR="00EF7F4F" w:rsidRPr="006E0AFE">
        <w:rPr>
          <w:rFonts w:eastAsia="Calibri"/>
        </w:rPr>
        <w:t xml:space="preserve"> čija je vrijednost preko 35 </w:t>
      </w:r>
      <w:proofErr w:type="spellStart"/>
      <w:r w:rsidR="00AA1D30" w:rsidRPr="006E0AFE">
        <w:rPr>
          <w:rFonts w:eastAsia="Calibri"/>
        </w:rPr>
        <w:t>mil</w:t>
      </w:r>
      <w:proofErr w:type="spellEnd"/>
      <w:r w:rsidR="00AA1D30" w:rsidRPr="006E0AFE">
        <w:rPr>
          <w:rFonts w:eastAsia="Calibri"/>
        </w:rPr>
        <w:t>.</w:t>
      </w:r>
      <w:r w:rsidR="00EF7F4F" w:rsidRPr="006E0AFE">
        <w:rPr>
          <w:rFonts w:eastAsia="Calibri"/>
        </w:rPr>
        <w:t xml:space="preserve"> </w:t>
      </w:r>
      <w:r w:rsidR="00AA1D30" w:rsidRPr="006E0AFE">
        <w:rPr>
          <w:rFonts w:eastAsia="Calibri"/>
        </w:rPr>
        <w:t>kuna.</w:t>
      </w:r>
    </w:p>
    <w:p w14:paraId="553458C6" w14:textId="77777777" w:rsidR="00C03098" w:rsidRPr="006E0AFE" w:rsidRDefault="00C03098" w:rsidP="00C03098">
      <w:pPr>
        <w:jc w:val="both"/>
        <w:rPr>
          <w:rFonts w:eastAsia="Calibri"/>
        </w:rPr>
      </w:pPr>
    </w:p>
    <w:p w14:paraId="543E8795" w14:textId="74F6133C" w:rsidR="00A31DD1" w:rsidRDefault="00A31DD1" w:rsidP="00C03098">
      <w:pPr>
        <w:jc w:val="both"/>
        <w:rPr>
          <w:rFonts w:eastAsia="Calibri"/>
        </w:rPr>
      </w:pPr>
      <w:r w:rsidRPr="006E0AFE">
        <w:rPr>
          <w:rFonts w:eastAsia="Calibri"/>
          <w:b/>
        </w:rPr>
        <w:t xml:space="preserve">Projekcija za </w:t>
      </w:r>
      <w:r w:rsidR="00055F66" w:rsidRPr="006E0AFE">
        <w:rPr>
          <w:rFonts w:eastAsia="Calibri"/>
          <w:b/>
        </w:rPr>
        <w:t>2022</w:t>
      </w:r>
      <w:r w:rsidRPr="006E0AFE">
        <w:rPr>
          <w:rFonts w:eastAsia="Calibri"/>
          <w:b/>
        </w:rPr>
        <w:t xml:space="preserve">. i </w:t>
      </w:r>
      <w:r w:rsidR="00055F66" w:rsidRPr="006E0AFE">
        <w:rPr>
          <w:rFonts w:eastAsia="Calibri"/>
          <w:b/>
        </w:rPr>
        <w:t>2023</w:t>
      </w:r>
      <w:r w:rsidRPr="006E0AFE">
        <w:rPr>
          <w:rFonts w:eastAsia="Calibri"/>
          <w:b/>
        </w:rPr>
        <w:t>. godinu</w:t>
      </w:r>
      <w:r w:rsidRPr="006E0AFE">
        <w:rPr>
          <w:rFonts w:eastAsia="Calibri"/>
        </w:rPr>
        <w:t xml:space="preserve"> također se planira u okvirima raspoloživih prihoda sa financiranjem onih programa, aktivnosti i projekata koji su skladu sa </w:t>
      </w:r>
      <w:r w:rsidR="009B6D99" w:rsidRPr="006E0AFE">
        <w:rPr>
          <w:rFonts w:eastAsia="Calibri"/>
        </w:rPr>
        <w:t xml:space="preserve">postojećim prioritetima </w:t>
      </w:r>
      <w:r w:rsidR="00741133" w:rsidRPr="006E0AFE">
        <w:rPr>
          <w:rFonts w:eastAsia="Calibri"/>
        </w:rPr>
        <w:t>i</w:t>
      </w:r>
      <w:r w:rsidR="0022593E" w:rsidRPr="006E0AFE">
        <w:rPr>
          <w:rFonts w:eastAsia="Calibri"/>
        </w:rPr>
        <w:t xml:space="preserve"> predstavljaju </w:t>
      </w:r>
      <w:r w:rsidR="009B6D99" w:rsidRPr="006E0AFE">
        <w:rPr>
          <w:rFonts w:eastAsia="Calibri"/>
        </w:rPr>
        <w:t>nastavak postojećih aktivnosti</w:t>
      </w:r>
      <w:r w:rsidRPr="006E0AFE">
        <w:rPr>
          <w:rFonts w:eastAsia="Calibri"/>
        </w:rPr>
        <w:t xml:space="preserve">. </w:t>
      </w:r>
      <w:r w:rsidR="00B3044C" w:rsidRPr="006E0AFE">
        <w:rPr>
          <w:rFonts w:eastAsia="Calibri"/>
        </w:rPr>
        <w:t>Projekcija za 2022.</w:t>
      </w:r>
      <w:r w:rsidR="00EF7F4F" w:rsidRPr="006E0AFE">
        <w:rPr>
          <w:rFonts w:eastAsia="Calibri"/>
        </w:rPr>
        <w:t xml:space="preserve"> </w:t>
      </w:r>
      <w:r w:rsidR="00B3044C" w:rsidRPr="006E0AFE">
        <w:rPr>
          <w:rFonts w:eastAsia="Calibri"/>
        </w:rPr>
        <w:t>godinu je niža za 14,6% u odnosu na plan za 2021.</w:t>
      </w:r>
      <w:r w:rsidR="00EF7F4F" w:rsidRPr="006E0AFE">
        <w:rPr>
          <w:rFonts w:eastAsia="Calibri"/>
        </w:rPr>
        <w:t xml:space="preserve"> </w:t>
      </w:r>
      <w:r w:rsidR="00B3044C" w:rsidRPr="006E0AFE">
        <w:rPr>
          <w:rFonts w:eastAsia="Calibri"/>
        </w:rPr>
        <w:t>godinu,</w:t>
      </w:r>
      <w:r w:rsidR="00EF7F4F" w:rsidRPr="006E0AFE">
        <w:rPr>
          <w:rFonts w:eastAsia="Calibri"/>
        </w:rPr>
        <w:t xml:space="preserve"> </w:t>
      </w:r>
      <w:r w:rsidR="00B3044C" w:rsidRPr="006E0AFE">
        <w:rPr>
          <w:rFonts w:eastAsia="Calibri"/>
        </w:rPr>
        <w:t>a projekcija za 2023.</w:t>
      </w:r>
      <w:r w:rsidR="00EF7F4F" w:rsidRPr="006E0AFE">
        <w:rPr>
          <w:rFonts w:eastAsia="Calibri"/>
        </w:rPr>
        <w:t xml:space="preserve"> </w:t>
      </w:r>
      <w:r w:rsidR="00B3044C" w:rsidRPr="006E0AFE">
        <w:rPr>
          <w:rFonts w:eastAsia="Calibri"/>
        </w:rPr>
        <w:t>godinu je za 0,6% viša u odnosu na projekciju za 2022.</w:t>
      </w:r>
      <w:r w:rsidR="00EF7F4F" w:rsidRPr="006E0AFE">
        <w:rPr>
          <w:rFonts w:eastAsia="Calibri"/>
        </w:rPr>
        <w:t xml:space="preserve"> </w:t>
      </w:r>
      <w:r w:rsidR="00B3044C" w:rsidRPr="006E0AFE">
        <w:rPr>
          <w:rFonts w:eastAsia="Calibri"/>
        </w:rPr>
        <w:t>godinu.</w:t>
      </w:r>
    </w:p>
    <w:p w14:paraId="1F4CC887" w14:textId="77777777" w:rsidR="005D2E47" w:rsidRPr="006E0AFE" w:rsidRDefault="005D2E47" w:rsidP="00C03098">
      <w:pPr>
        <w:jc w:val="both"/>
        <w:rPr>
          <w:rFonts w:eastAsia="Calibri"/>
        </w:rPr>
      </w:pPr>
    </w:p>
    <w:p w14:paraId="7754E2FC" w14:textId="3AE867B6" w:rsidR="002A1EDD" w:rsidRPr="006E0AFE" w:rsidRDefault="002A1EDD" w:rsidP="002A1EDD">
      <w:pPr>
        <w:jc w:val="both"/>
        <w:rPr>
          <w:b/>
          <w:lang w:eastAsia="en-US"/>
        </w:rPr>
      </w:pPr>
      <w:r w:rsidRPr="006E0AFE">
        <w:rPr>
          <w:b/>
          <w:lang w:eastAsia="en-US"/>
        </w:rPr>
        <w:t xml:space="preserve">Prijedlog Proračuna za 2021. te projekcija za 2022. i 2023. </w:t>
      </w:r>
      <w:r>
        <w:rPr>
          <w:b/>
          <w:lang w:eastAsia="en-US"/>
        </w:rPr>
        <w:t>u odnosu na 2020.godinu:</w:t>
      </w:r>
    </w:p>
    <w:p w14:paraId="7DE44F4B" w14:textId="5BE5F209" w:rsidR="00C03098" w:rsidRDefault="00845179" w:rsidP="002A1EDD">
      <w:pPr>
        <w:jc w:val="center"/>
        <w:rPr>
          <w:rFonts w:eastAsia="Calibri"/>
        </w:rPr>
      </w:pPr>
      <w:r w:rsidRPr="006E0AFE">
        <w:rPr>
          <w:noProof/>
        </w:rPr>
        <w:drawing>
          <wp:inline distT="0" distB="0" distL="0" distR="0" wp14:anchorId="5C7EBCE3" wp14:editId="33DDB7EE">
            <wp:extent cx="5419725" cy="3552825"/>
            <wp:effectExtent l="0" t="0" r="0" b="0"/>
            <wp:docPr id="8" name="Obj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13A302" w14:textId="77777777" w:rsidR="00B3044C" w:rsidRPr="006E0AFE" w:rsidRDefault="00B3044C" w:rsidP="00C03098">
      <w:pPr>
        <w:jc w:val="both"/>
        <w:rPr>
          <w:lang w:eastAsia="en-US"/>
        </w:rPr>
      </w:pPr>
    </w:p>
    <w:p w14:paraId="036174DF" w14:textId="77777777" w:rsidR="00A31DD1" w:rsidRPr="006E0AFE" w:rsidRDefault="00657144" w:rsidP="00C03098">
      <w:pPr>
        <w:jc w:val="both"/>
        <w:rPr>
          <w:lang w:eastAsia="en-US"/>
        </w:rPr>
      </w:pPr>
      <w:r w:rsidRPr="006E0AFE">
        <w:rPr>
          <w:rFonts w:eastAsia="Calibri"/>
        </w:rPr>
        <w:t xml:space="preserve">Budući se Proračun donosi za trogodišnje razdoblje, neki od Projekcijom planiranih kapitalnih projekata koji su dio ciljeva i prioriteta Općine, nije planiran u ukupnoj vrijednosti unutar iste proračunske godine već u skladu sa očekivanim početkom i trajanjem radova kroz dvije ili više proračunskih godina. </w:t>
      </w:r>
      <w:r w:rsidR="0022593E" w:rsidRPr="006E0AFE">
        <w:rPr>
          <w:lang w:eastAsia="en-US"/>
        </w:rPr>
        <w:t>Također je, ovisno o kretanjima proračunskih prihoda, ostvarivanja pomoći iz fondova EU, stanja na tržištu kapitala ili drugih okolnosti, moguće dio investicija u konačnici financirati iz drugih izvora ili započeti sa istima ranije nego što je prvotno planirano</w:t>
      </w:r>
      <w:r w:rsidR="00B3044C" w:rsidRPr="006E0AFE">
        <w:rPr>
          <w:lang w:eastAsia="en-US"/>
        </w:rPr>
        <w:t xml:space="preserve">. Isto tako uvažavajući trajanje određenih postupka i procedura oko izdavanja potrebnih dozvola ili rješavanja imovinsko-pravnih odnosa moguće </w:t>
      </w:r>
      <w:r w:rsidR="002731F0" w:rsidRPr="006E0AFE">
        <w:rPr>
          <w:lang w:eastAsia="en-US"/>
        </w:rPr>
        <w:t xml:space="preserve">je također </w:t>
      </w:r>
      <w:r w:rsidR="00B3044C" w:rsidRPr="006E0AFE">
        <w:rPr>
          <w:lang w:eastAsia="en-US"/>
        </w:rPr>
        <w:t>da se početak nekih od planiranih investicija prolongira u iduće proračunsko razdoblje.</w:t>
      </w:r>
    </w:p>
    <w:p w14:paraId="4CCD4D20" w14:textId="77777777" w:rsidR="002731F0" w:rsidRPr="006E0AFE" w:rsidRDefault="002731F0" w:rsidP="00C03098">
      <w:pPr>
        <w:jc w:val="both"/>
        <w:rPr>
          <w:lang w:eastAsia="en-US"/>
        </w:rPr>
      </w:pPr>
    </w:p>
    <w:p w14:paraId="7B14B4B7" w14:textId="77777777" w:rsidR="002731F0" w:rsidRPr="006E0AFE" w:rsidRDefault="002731F0" w:rsidP="00A31DD1">
      <w:pPr>
        <w:jc w:val="both"/>
        <w:rPr>
          <w:lang w:eastAsia="en-US"/>
        </w:rPr>
      </w:pPr>
      <w:r w:rsidRPr="006E0AFE">
        <w:rPr>
          <w:lang w:eastAsia="en-US"/>
        </w:rPr>
        <w:lastRenderedPageBreak/>
        <w:t xml:space="preserve">Međutim, zasigurno će najveći izazov i problem predstavljati trajanje posebnih okolnosti uzrokovanih </w:t>
      </w:r>
      <w:r w:rsidR="00975846" w:rsidRPr="006E0AFE">
        <w:rPr>
          <w:lang w:eastAsia="en-US"/>
        </w:rPr>
        <w:t xml:space="preserve">bolesti </w:t>
      </w:r>
      <w:proofErr w:type="spellStart"/>
      <w:r w:rsidR="00975846" w:rsidRPr="006E0AFE">
        <w:rPr>
          <w:lang w:eastAsia="en-US"/>
        </w:rPr>
        <w:t>Covid</w:t>
      </w:r>
      <w:proofErr w:type="spellEnd"/>
      <w:r w:rsidR="00975846" w:rsidRPr="006E0AFE">
        <w:rPr>
          <w:lang w:eastAsia="en-US"/>
        </w:rPr>
        <w:t xml:space="preserve"> 19</w:t>
      </w:r>
      <w:r w:rsidRPr="006E0AFE">
        <w:rPr>
          <w:lang w:eastAsia="en-US"/>
        </w:rPr>
        <w:t xml:space="preserve"> te stoga treba biti spreman i na prilagodbu u slučaju da se stanje u zemlji</w:t>
      </w:r>
      <w:r w:rsidR="00975846" w:rsidRPr="006E0AFE">
        <w:rPr>
          <w:lang w:eastAsia="en-US"/>
        </w:rPr>
        <w:t>,</w:t>
      </w:r>
      <w:r w:rsidRPr="006E0AFE">
        <w:rPr>
          <w:lang w:eastAsia="en-US"/>
        </w:rPr>
        <w:t xml:space="preserve"> prvenstveno na gospodarskom planu</w:t>
      </w:r>
      <w:r w:rsidR="00975846" w:rsidRPr="006E0AFE">
        <w:rPr>
          <w:lang w:eastAsia="en-US"/>
        </w:rPr>
        <w:t>,</w:t>
      </w:r>
      <w:r w:rsidRPr="006E0AFE">
        <w:rPr>
          <w:lang w:eastAsia="en-US"/>
        </w:rPr>
        <w:t xml:space="preserve"> pogorša. No</w:t>
      </w:r>
      <w:r w:rsidR="00975846" w:rsidRPr="006E0AFE">
        <w:rPr>
          <w:lang w:eastAsia="en-US"/>
        </w:rPr>
        <w:t>,</w:t>
      </w:r>
      <w:r w:rsidRPr="006E0AFE">
        <w:rPr>
          <w:lang w:eastAsia="en-US"/>
        </w:rPr>
        <w:t xml:space="preserve"> Proračun za 2021. te projekcija za 2022. i 2023.</w:t>
      </w:r>
      <w:r w:rsidR="00975846" w:rsidRPr="006E0AFE">
        <w:rPr>
          <w:lang w:eastAsia="en-US"/>
        </w:rPr>
        <w:t xml:space="preserve"> </w:t>
      </w:r>
      <w:r w:rsidRPr="006E0AFE">
        <w:rPr>
          <w:lang w:eastAsia="en-US"/>
        </w:rPr>
        <w:t>godinu planirani su istovremeno oprezno, ali sa optimizmom iako okolnosti za planiranje nikad nisu bile teže.</w:t>
      </w:r>
    </w:p>
    <w:p w14:paraId="6465C67E" w14:textId="77777777" w:rsidR="00EF7F4F" w:rsidRPr="006E0AFE" w:rsidRDefault="00EF7F4F" w:rsidP="00A31DD1">
      <w:pPr>
        <w:jc w:val="both"/>
        <w:rPr>
          <w:lang w:eastAsia="en-US"/>
        </w:rPr>
      </w:pPr>
    </w:p>
    <w:p w14:paraId="5D023804" w14:textId="77777777" w:rsidR="00975846" w:rsidRPr="006E0AFE" w:rsidRDefault="00975846" w:rsidP="00A31DD1">
      <w:pPr>
        <w:jc w:val="both"/>
        <w:rPr>
          <w:lang w:eastAsia="en-US"/>
        </w:rPr>
      </w:pPr>
    </w:p>
    <w:p w14:paraId="392BD555" w14:textId="77777777" w:rsidR="00A31DD1" w:rsidRPr="00845179" w:rsidRDefault="00A31DD1" w:rsidP="00A31DD1">
      <w:pPr>
        <w:jc w:val="both"/>
        <w:rPr>
          <w:b/>
          <w:color w:val="2E74B5"/>
          <w:sz w:val="28"/>
          <w:szCs w:val="28"/>
          <w:u w:val="single"/>
          <w:lang w:eastAsia="en-US"/>
          <w14:shadow w14:blurRad="50800" w14:dist="38100" w14:dir="2700000" w14:sx="100000" w14:sy="100000" w14:kx="0" w14:ky="0" w14:algn="tl">
            <w14:srgbClr w14:val="000000">
              <w14:alpha w14:val="60000"/>
            </w14:srgbClr>
          </w14:shadow>
        </w:rPr>
      </w:pPr>
      <w:r w:rsidRPr="00845179">
        <w:rPr>
          <w:b/>
          <w:color w:val="2E74B5"/>
          <w:sz w:val="28"/>
          <w:szCs w:val="28"/>
          <w:u w:val="single"/>
          <w:lang w:eastAsia="en-US"/>
          <w14:shadow w14:blurRad="50800" w14:dist="38100" w14:dir="2700000" w14:sx="100000" w14:sy="100000" w14:kx="0" w14:ky="0" w14:algn="tl">
            <w14:srgbClr w14:val="000000">
              <w14:alpha w14:val="60000"/>
            </w14:srgbClr>
          </w14:shadow>
        </w:rPr>
        <w:t>I</w:t>
      </w:r>
      <w:r w:rsidR="00BA4BC4" w:rsidRPr="00845179">
        <w:rPr>
          <w:b/>
          <w:color w:val="2E74B5"/>
          <w:sz w:val="28"/>
          <w:szCs w:val="28"/>
          <w:u w:val="single"/>
          <w:lang w:eastAsia="en-US"/>
          <w14:shadow w14:blurRad="50800" w14:dist="38100" w14:dir="2700000" w14:sx="100000" w14:sy="100000" w14:kx="0" w14:ky="0" w14:algn="tl">
            <w14:srgbClr w14:val="000000">
              <w14:alpha w14:val="60000"/>
            </w14:srgbClr>
          </w14:shadow>
        </w:rPr>
        <w:t>.</w:t>
      </w:r>
      <w:r w:rsidRPr="00845179">
        <w:rPr>
          <w:b/>
          <w:color w:val="2E74B5"/>
          <w:sz w:val="28"/>
          <w:szCs w:val="28"/>
          <w:u w:val="single"/>
          <w:lang w:eastAsia="en-US"/>
          <w14:shadow w14:blurRad="50800" w14:dist="38100" w14:dir="2700000" w14:sx="100000" w14:sy="100000" w14:kx="0" w14:ky="0" w14:algn="tl">
            <w14:srgbClr w14:val="000000">
              <w14:alpha w14:val="60000"/>
            </w14:srgbClr>
          </w14:shadow>
        </w:rPr>
        <w:t xml:space="preserve">  </w:t>
      </w:r>
      <w:r w:rsidR="00F91A17" w:rsidRPr="00845179">
        <w:rPr>
          <w:b/>
          <w:color w:val="2E74B5"/>
          <w:sz w:val="28"/>
          <w:szCs w:val="28"/>
          <w:u w:val="single"/>
          <w:lang w:eastAsia="en-US"/>
          <w14:shadow w14:blurRad="50800" w14:dist="38100" w14:dir="2700000" w14:sx="100000" w14:sy="100000" w14:kx="0" w14:ky="0" w14:algn="tl">
            <w14:srgbClr w14:val="000000">
              <w14:alpha w14:val="60000"/>
            </w14:srgbClr>
          </w14:shadow>
        </w:rPr>
        <w:t xml:space="preserve">OBRAZLOŽENJE PLANIRANIH </w:t>
      </w:r>
      <w:r w:rsidRPr="00845179">
        <w:rPr>
          <w:b/>
          <w:color w:val="2E74B5"/>
          <w:sz w:val="28"/>
          <w:szCs w:val="28"/>
          <w:u w:val="single"/>
          <w:lang w:eastAsia="en-US"/>
          <w14:shadow w14:blurRad="50800" w14:dist="38100" w14:dir="2700000" w14:sx="100000" w14:sy="100000" w14:kx="0" w14:ky="0" w14:algn="tl">
            <w14:srgbClr w14:val="000000">
              <w14:alpha w14:val="60000"/>
            </w14:srgbClr>
          </w14:shadow>
        </w:rPr>
        <w:t>PRIHOD</w:t>
      </w:r>
      <w:r w:rsidR="00F91A17" w:rsidRPr="00845179">
        <w:rPr>
          <w:b/>
          <w:color w:val="2E74B5"/>
          <w:sz w:val="28"/>
          <w:szCs w:val="28"/>
          <w:u w:val="single"/>
          <w:lang w:eastAsia="en-US"/>
          <w14:shadow w14:blurRad="50800" w14:dist="38100" w14:dir="2700000" w14:sx="100000" w14:sy="100000" w14:kx="0" w14:ky="0" w14:algn="tl">
            <w14:srgbClr w14:val="000000">
              <w14:alpha w14:val="60000"/>
            </w14:srgbClr>
          </w14:shadow>
        </w:rPr>
        <w:t>A</w:t>
      </w:r>
      <w:r w:rsidRPr="00845179">
        <w:rPr>
          <w:b/>
          <w:color w:val="2E74B5"/>
          <w:sz w:val="28"/>
          <w:szCs w:val="28"/>
          <w:u w:val="single"/>
          <w:lang w:eastAsia="en-US"/>
          <w14:shadow w14:blurRad="50800" w14:dist="38100" w14:dir="2700000" w14:sx="100000" w14:sy="100000" w14:kx="0" w14:ky="0" w14:algn="tl">
            <w14:srgbClr w14:val="000000">
              <w14:alpha w14:val="60000"/>
            </w14:srgbClr>
          </w14:shadow>
        </w:rPr>
        <w:t xml:space="preserve"> I PRIMI</w:t>
      </w:r>
      <w:r w:rsidR="00F91A17" w:rsidRPr="00845179">
        <w:rPr>
          <w:b/>
          <w:color w:val="2E74B5"/>
          <w:sz w:val="28"/>
          <w:szCs w:val="28"/>
          <w:u w:val="single"/>
          <w:lang w:eastAsia="en-US"/>
          <w14:shadow w14:blurRad="50800" w14:dist="38100" w14:dir="2700000" w14:sx="100000" w14:sy="100000" w14:kx="0" w14:ky="0" w14:algn="tl">
            <w14:srgbClr w14:val="000000">
              <w14:alpha w14:val="60000"/>
            </w14:srgbClr>
          </w14:shadow>
        </w:rPr>
        <w:t>TAKA</w:t>
      </w:r>
    </w:p>
    <w:p w14:paraId="61A3FC96" w14:textId="77777777" w:rsidR="00A31DD1" w:rsidRPr="006E0AFE" w:rsidRDefault="00A31DD1" w:rsidP="00A31DD1">
      <w:pPr>
        <w:ind w:firstLine="360"/>
        <w:jc w:val="both"/>
        <w:rPr>
          <w:sz w:val="22"/>
          <w:szCs w:val="22"/>
          <w:highlight w:val="yellow"/>
          <w:lang w:eastAsia="en-US"/>
        </w:rPr>
      </w:pPr>
    </w:p>
    <w:p w14:paraId="6B1DF71B" w14:textId="77777777" w:rsidR="00A31DD1" w:rsidRPr="006E0AFE" w:rsidRDefault="00A31DD1" w:rsidP="00A31DD1">
      <w:pPr>
        <w:jc w:val="both"/>
        <w:rPr>
          <w:lang w:eastAsia="en-US"/>
        </w:rPr>
      </w:pPr>
      <w:r w:rsidRPr="006E0AFE">
        <w:rPr>
          <w:lang w:eastAsia="en-US"/>
        </w:rPr>
        <w:t>Prihodi i primici Proračuna prema ekonomskoj klasifikaciji obuhvaćaju</w:t>
      </w:r>
      <w:r w:rsidRPr="006E0AFE">
        <w:rPr>
          <w:b/>
          <w:lang w:eastAsia="en-US"/>
        </w:rPr>
        <w:t xml:space="preserve"> </w:t>
      </w:r>
      <w:r w:rsidRPr="006E0AFE">
        <w:rPr>
          <w:b/>
          <w:u w:val="single"/>
          <w:lang w:eastAsia="en-US"/>
        </w:rPr>
        <w:t>prihode poslovanja</w:t>
      </w:r>
      <w:r w:rsidRPr="006E0AFE">
        <w:rPr>
          <w:b/>
          <w:lang w:eastAsia="en-US"/>
        </w:rPr>
        <w:t xml:space="preserve">, </w:t>
      </w:r>
      <w:r w:rsidRPr="006E0AFE">
        <w:rPr>
          <w:b/>
          <w:u w:val="single"/>
          <w:lang w:eastAsia="en-US"/>
        </w:rPr>
        <w:t>prihode od prodaje nefinancijske imovine</w:t>
      </w:r>
      <w:r w:rsidRPr="006E0AFE">
        <w:rPr>
          <w:b/>
          <w:lang w:eastAsia="en-US"/>
        </w:rPr>
        <w:t xml:space="preserve"> te </w:t>
      </w:r>
      <w:r w:rsidRPr="006E0AFE">
        <w:rPr>
          <w:b/>
          <w:u w:val="single"/>
          <w:lang w:eastAsia="en-US"/>
        </w:rPr>
        <w:t>primitke od financijske imovine i zaduživanja</w:t>
      </w:r>
      <w:r w:rsidRPr="006E0AFE">
        <w:rPr>
          <w:b/>
          <w:lang w:eastAsia="en-US"/>
        </w:rPr>
        <w:t xml:space="preserve">, </w:t>
      </w:r>
      <w:r w:rsidRPr="006E0AFE">
        <w:rPr>
          <w:lang w:eastAsia="en-US"/>
        </w:rPr>
        <w:t xml:space="preserve">a isti su </w:t>
      </w:r>
      <w:r w:rsidR="003F41D3" w:rsidRPr="006E0AFE">
        <w:rPr>
          <w:lang w:eastAsia="en-US"/>
        </w:rPr>
        <w:t xml:space="preserve">prijedlogom Proračuna za </w:t>
      </w:r>
      <w:r w:rsidR="00055F66" w:rsidRPr="006E0AFE">
        <w:rPr>
          <w:lang w:eastAsia="en-US"/>
        </w:rPr>
        <w:t>2021</w:t>
      </w:r>
      <w:r w:rsidR="00975846" w:rsidRPr="006E0AFE">
        <w:rPr>
          <w:lang w:eastAsia="en-US"/>
        </w:rPr>
        <w:t>. te projekcijama</w:t>
      </w:r>
      <w:r w:rsidR="003F41D3" w:rsidRPr="006E0AFE">
        <w:rPr>
          <w:lang w:eastAsia="en-US"/>
        </w:rPr>
        <w:t xml:space="preserve"> za </w:t>
      </w:r>
      <w:r w:rsidR="00055F66" w:rsidRPr="006E0AFE">
        <w:rPr>
          <w:lang w:eastAsia="en-US"/>
        </w:rPr>
        <w:t>2022</w:t>
      </w:r>
      <w:r w:rsidR="003F41D3" w:rsidRPr="006E0AFE">
        <w:rPr>
          <w:lang w:eastAsia="en-US"/>
        </w:rPr>
        <w:t xml:space="preserve">. i </w:t>
      </w:r>
      <w:r w:rsidR="00055F66" w:rsidRPr="006E0AFE">
        <w:rPr>
          <w:lang w:eastAsia="en-US"/>
        </w:rPr>
        <w:t>2023</w:t>
      </w:r>
      <w:r w:rsidR="003F41D3" w:rsidRPr="006E0AFE">
        <w:rPr>
          <w:lang w:eastAsia="en-US"/>
        </w:rPr>
        <w:t xml:space="preserve">. godinu </w:t>
      </w:r>
      <w:r w:rsidRPr="006E0AFE">
        <w:rPr>
          <w:lang w:eastAsia="en-US"/>
        </w:rPr>
        <w:t>planirani kako slijedi:</w:t>
      </w:r>
    </w:p>
    <w:p w14:paraId="779DC73C" w14:textId="77777777" w:rsidR="00672050" w:rsidRPr="006E0AFE" w:rsidRDefault="00672050" w:rsidP="00A31DD1">
      <w:pPr>
        <w:jc w:val="both"/>
        <w:rPr>
          <w:lang w:eastAsia="en-US"/>
        </w:rPr>
      </w:pPr>
    </w:p>
    <w:p w14:paraId="7AF12F85" w14:textId="6398A0C0" w:rsidR="00A31DD1" w:rsidRPr="006E0AFE" w:rsidRDefault="00845179" w:rsidP="002731F0">
      <w:pPr>
        <w:jc w:val="center"/>
        <w:rPr>
          <w:b/>
          <w:sz w:val="22"/>
          <w:szCs w:val="22"/>
          <w:lang w:eastAsia="en-US"/>
        </w:rPr>
      </w:pPr>
      <w:r>
        <w:rPr>
          <w:noProof/>
        </w:rPr>
        <w:drawing>
          <wp:inline distT="0" distB="0" distL="0" distR="0" wp14:anchorId="115B1E8E" wp14:editId="75D0BABB">
            <wp:extent cx="6331585" cy="3877310"/>
            <wp:effectExtent l="0" t="0" r="0" b="0"/>
            <wp:docPr id="4"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B902B9" w14:textId="77777777" w:rsidR="00C03098" w:rsidRPr="006E0AFE" w:rsidRDefault="00C03098" w:rsidP="00A31DD1">
      <w:pPr>
        <w:jc w:val="both"/>
        <w:rPr>
          <w:b/>
          <w:sz w:val="22"/>
          <w:szCs w:val="22"/>
          <w:lang w:eastAsia="en-US"/>
        </w:rPr>
      </w:pPr>
    </w:p>
    <w:p w14:paraId="01AA1B00" w14:textId="77777777" w:rsidR="00BA4BC4" w:rsidRPr="006E0AFE" w:rsidRDefault="00BA4BC4" w:rsidP="00BA4BC4">
      <w:pPr>
        <w:jc w:val="both"/>
        <w:rPr>
          <w:sz w:val="22"/>
          <w:szCs w:val="22"/>
          <w:lang w:eastAsia="en-US"/>
        </w:rPr>
      </w:pPr>
    </w:p>
    <w:p w14:paraId="75DA6D6B" w14:textId="77777777" w:rsidR="00A31DD1" w:rsidRPr="006E0AFE" w:rsidRDefault="00A31DD1" w:rsidP="00785D5E">
      <w:pPr>
        <w:jc w:val="both"/>
        <w:rPr>
          <w:lang w:eastAsia="en-US"/>
        </w:rPr>
      </w:pPr>
      <w:r w:rsidRPr="006E0AFE">
        <w:rPr>
          <w:lang w:eastAsia="en-US"/>
        </w:rPr>
        <w:t xml:space="preserve">Iz navedenog je razvidno da u </w:t>
      </w:r>
      <w:r w:rsidR="00D6403F" w:rsidRPr="006E0AFE">
        <w:rPr>
          <w:b/>
          <w:lang w:eastAsia="en-US"/>
        </w:rPr>
        <w:t xml:space="preserve">Proračunu za </w:t>
      </w:r>
      <w:r w:rsidR="00055F66" w:rsidRPr="002148F4">
        <w:rPr>
          <w:b/>
          <w:lang w:eastAsia="en-US"/>
        </w:rPr>
        <w:t>2021</w:t>
      </w:r>
      <w:r w:rsidRPr="002148F4">
        <w:rPr>
          <w:b/>
          <w:lang w:eastAsia="en-US"/>
        </w:rPr>
        <w:t>.</w:t>
      </w:r>
      <w:r w:rsidR="00975846" w:rsidRPr="002148F4">
        <w:rPr>
          <w:b/>
          <w:lang w:eastAsia="en-US"/>
        </w:rPr>
        <w:t xml:space="preserve"> godinu</w:t>
      </w:r>
      <w:r w:rsidRPr="006E0AFE">
        <w:rPr>
          <w:lang w:eastAsia="en-US"/>
        </w:rPr>
        <w:t xml:space="preserve"> pretežiti dio prihoda i primitaka proračuna čine prihodi poslovanja (</w:t>
      </w:r>
      <w:r w:rsidR="00672050" w:rsidRPr="006E0AFE">
        <w:rPr>
          <w:lang w:eastAsia="en-US"/>
        </w:rPr>
        <w:t>70,75</w:t>
      </w:r>
      <w:r w:rsidRPr="006E0AFE">
        <w:rPr>
          <w:lang w:eastAsia="en-US"/>
        </w:rPr>
        <w:t xml:space="preserve">%) za razliku od </w:t>
      </w:r>
      <w:r w:rsidR="00055F66" w:rsidRPr="006E0AFE">
        <w:rPr>
          <w:lang w:eastAsia="en-US"/>
        </w:rPr>
        <w:t>2020</w:t>
      </w:r>
      <w:r w:rsidRPr="006E0AFE">
        <w:rPr>
          <w:lang w:eastAsia="en-US"/>
        </w:rPr>
        <w:t>.</w:t>
      </w:r>
      <w:r w:rsidR="00975846" w:rsidRPr="006E0AFE">
        <w:rPr>
          <w:lang w:eastAsia="en-US"/>
        </w:rPr>
        <w:t xml:space="preserve"> </w:t>
      </w:r>
      <w:r w:rsidRPr="006E0AFE">
        <w:rPr>
          <w:lang w:eastAsia="en-US"/>
        </w:rPr>
        <w:t xml:space="preserve">godine kada je udio istih u prihodima i primicima iznosio </w:t>
      </w:r>
      <w:r w:rsidR="00672050" w:rsidRPr="006E0AFE">
        <w:rPr>
          <w:lang w:eastAsia="en-US"/>
        </w:rPr>
        <w:t>62</w:t>
      </w:r>
      <w:r w:rsidR="00BA4BC4" w:rsidRPr="006E0AFE">
        <w:rPr>
          <w:lang w:eastAsia="en-US"/>
        </w:rPr>
        <w:t>,</w:t>
      </w:r>
      <w:r w:rsidR="00672050" w:rsidRPr="006E0AFE">
        <w:rPr>
          <w:lang w:eastAsia="en-US"/>
        </w:rPr>
        <w:t>40</w:t>
      </w:r>
      <w:r w:rsidRPr="006E0AFE">
        <w:rPr>
          <w:lang w:eastAsia="en-US"/>
        </w:rPr>
        <w:t>%.</w:t>
      </w:r>
      <w:r w:rsidR="00BA4BC4" w:rsidRPr="006E0AFE">
        <w:rPr>
          <w:lang w:eastAsia="en-US"/>
        </w:rPr>
        <w:t xml:space="preserve"> </w:t>
      </w:r>
      <w:r w:rsidR="00785D5E" w:rsidRPr="006E0AFE">
        <w:rPr>
          <w:lang w:eastAsia="en-US"/>
        </w:rPr>
        <w:t xml:space="preserve">Kada se uspoređuju samo prihodi poslovanja </w:t>
      </w:r>
      <w:r w:rsidR="00BA4BC4" w:rsidRPr="006E0AFE">
        <w:rPr>
          <w:lang w:eastAsia="en-US"/>
        </w:rPr>
        <w:t xml:space="preserve">u </w:t>
      </w:r>
      <w:r w:rsidR="00055F66" w:rsidRPr="006E0AFE">
        <w:rPr>
          <w:lang w:eastAsia="en-US"/>
        </w:rPr>
        <w:t>2021</w:t>
      </w:r>
      <w:r w:rsidR="00BA4BC4" w:rsidRPr="006E0AFE">
        <w:rPr>
          <w:lang w:eastAsia="en-US"/>
        </w:rPr>
        <w:t>.</w:t>
      </w:r>
      <w:r w:rsidR="00975846" w:rsidRPr="006E0AFE">
        <w:rPr>
          <w:lang w:eastAsia="en-US"/>
        </w:rPr>
        <w:t xml:space="preserve"> </w:t>
      </w:r>
      <w:r w:rsidR="00BA4BC4" w:rsidRPr="006E0AFE">
        <w:rPr>
          <w:lang w:eastAsia="en-US"/>
        </w:rPr>
        <w:t xml:space="preserve">godini </w:t>
      </w:r>
      <w:r w:rsidR="00785D5E" w:rsidRPr="006E0AFE">
        <w:rPr>
          <w:lang w:eastAsia="en-US"/>
        </w:rPr>
        <w:t xml:space="preserve">isti su u odnosu na </w:t>
      </w:r>
      <w:r w:rsidR="00055F66" w:rsidRPr="006E0AFE">
        <w:rPr>
          <w:lang w:eastAsia="en-US"/>
        </w:rPr>
        <w:t>2020</w:t>
      </w:r>
      <w:r w:rsidR="00785D5E" w:rsidRPr="006E0AFE">
        <w:rPr>
          <w:lang w:eastAsia="en-US"/>
        </w:rPr>
        <w:t xml:space="preserve">. niži za </w:t>
      </w:r>
      <w:r w:rsidR="00672050" w:rsidRPr="006E0AFE">
        <w:rPr>
          <w:lang w:eastAsia="en-US"/>
        </w:rPr>
        <w:t>9,7</w:t>
      </w:r>
      <w:r w:rsidR="00785D5E" w:rsidRPr="006E0AFE">
        <w:rPr>
          <w:lang w:eastAsia="en-US"/>
        </w:rPr>
        <w:t xml:space="preserve">% što je posljedica nižih prihoda od </w:t>
      </w:r>
      <w:r w:rsidR="00672050" w:rsidRPr="006E0AFE">
        <w:rPr>
          <w:lang w:eastAsia="en-US"/>
        </w:rPr>
        <w:t xml:space="preserve">pomoći </w:t>
      </w:r>
      <w:r w:rsidR="00785D5E" w:rsidRPr="006E0AFE">
        <w:rPr>
          <w:lang w:eastAsia="en-US"/>
        </w:rPr>
        <w:t>(-</w:t>
      </w:r>
      <w:r w:rsidR="00672050" w:rsidRPr="006E0AFE">
        <w:rPr>
          <w:lang w:eastAsia="en-US"/>
        </w:rPr>
        <w:t>34,7</w:t>
      </w:r>
      <w:r w:rsidR="00785D5E" w:rsidRPr="006E0AFE">
        <w:rPr>
          <w:lang w:eastAsia="en-US"/>
        </w:rPr>
        <w:t xml:space="preserve">%), </w:t>
      </w:r>
      <w:r w:rsidR="00672050" w:rsidRPr="006E0AFE">
        <w:rPr>
          <w:lang w:eastAsia="en-US"/>
        </w:rPr>
        <w:t xml:space="preserve">dok se kod ostalih prihoda poslovanja planira povećanje. Također se </w:t>
      </w:r>
      <w:r w:rsidR="00785D5E" w:rsidRPr="006E0AFE">
        <w:rPr>
          <w:lang w:eastAsia="en-US"/>
        </w:rPr>
        <w:t xml:space="preserve">u </w:t>
      </w:r>
      <w:r w:rsidR="00055F66" w:rsidRPr="006E0AFE">
        <w:rPr>
          <w:lang w:eastAsia="en-US"/>
        </w:rPr>
        <w:t>2021</w:t>
      </w:r>
      <w:r w:rsidR="00785D5E" w:rsidRPr="006E0AFE">
        <w:rPr>
          <w:lang w:eastAsia="en-US"/>
        </w:rPr>
        <w:t>.</w:t>
      </w:r>
      <w:r w:rsidR="00975846" w:rsidRPr="006E0AFE">
        <w:rPr>
          <w:lang w:eastAsia="en-US"/>
        </w:rPr>
        <w:t xml:space="preserve"> </w:t>
      </w:r>
      <w:r w:rsidR="00785D5E" w:rsidRPr="006E0AFE">
        <w:rPr>
          <w:lang w:eastAsia="en-US"/>
        </w:rPr>
        <w:t>godini</w:t>
      </w:r>
      <w:r w:rsidR="00672050" w:rsidRPr="006E0AFE">
        <w:rPr>
          <w:lang w:eastAsia="en-US"/>
        </w:rPr>
        <w:t>, u odnosu na 2020.</w:t>
      </w:r>
      <w:r w:rsidR="00975846" w:rsidRPr="006E0AFE">
        <w:rPr>
          <w:lang w:eastAsia="en-US"/>
        </w:rPr>
        <w:t xml:space="preserve"> </w:t>
      </w:r>
      <w:r w:rsidR="00672050" w:rsidRPr="006E0AFE">
        <w:rPr>
          <w:lang w:eastAsia="en-US"/>
        </w:rPr>
        <w:t>godinu</w:t>
      </w:r>
      <w:r w:rsidR="00785D5E" w:rsidRPr="006E0AFE">
        <w:rPr>
          <w:lang w:eastAsia="en-US"/>
        </w:rPr>
        <w:t xml:space="preserve"> </w:t>
      </w:r>
      <w:r w:rsidR="00BA4BC4" w:rsidRPr="006E0AFE">
        <w:rPr>
          <w:lang w:eastAsia="en-US"/>
        </w:rPr>
        <w:t xml:space="preserve">planiraju </w:t>
      </w:r>
      <w:r w:rsidR="00672050" w:rsidRPr="006E0AFE">
        <w:rPr>
          <w:lang w:eastAsia="en-US"/>
        </w:rPr>
        <w:t>niži</w:t>
      </w:r>
      <w:r w:rsidR="00BA4BC4" w:rsidRPr="006E0AFE">
        <w:rPr>
          <w:lang w:eastAsia="en-US"/>
        </w:rPr>
        <w:t xml:space="preserve"> prihodi od prodaje dugotrajne imovine (</w:t>
      </w:r>
      <w:r w:rsidR="00975846" w:rsidRPr="006E0AFE">
        <w:rPr>
          <w:lang w:eastAsia="en-US"/>
        </w:rPr>
        <w:t>-</w:t>
      </w:r>
      <w:r w:rsidR="00672050" w:rsidRPr="006E0AFE">
        <w:rPr>
          <w:lang w:eastAsia="en-US"/>
        </w:rPr>
        <w:t>40</w:t>
      </w:r>
      <w:r w:rsidR="00785D5E" w:rsidRPr="006E0AFE">
        <w:rPr>
          <w:lang w:eastAsia="en-US"/>
        </w:rPr>
        <w:t>%)</w:t>
      </w:r>
      <w:r w:rsidR="00672050" w:rsidRPr="006E0AFE">
        <w:rPr>
          <w:lang w:eastAsia="en-US"/>
        </w:rPr>
        <w:t>.</w:t>
      </w:r>
      <w:r w:rsidR="00BA4BC4" w:rsidRPr="006E0AFE">
        <w:rPr>
          <w:lang w:eastAsia="en-US"/>
        </w:rPr>
        <w:t xml:space="preserve"> </w:t>
      </w:r>
      <w:r w:rsidR="00335946" w:rsidRPr="006E0AFE">
        <w:rPr>
          <w:lang w:eastAsia="en-US"/>
        </w:rPr>
        <w:t xml:space="preserve">U </w:t>
      </w:r>
      <w:r w:rsidR="00BA4BC4" w:rsidRPr="006E0AFE">
        <w:rPr>
          <w:lang w:eastAsia="en-US"/>
        </w:rPr>
        <w:t xml:space="preserve">prihodovnu stranu </w:t>
      </w:r>
      <w:r w:rsidR="00335946" w:rsidRPr="006E0AFE">
        <w:rPr>
          <w:lang w:eastAsia="en-US"/>
        </w:rPr>
        <w:t xml:space="preserve">tekućeg </w:t>
      </w:r>
      <w:r w:rsidR="00BA4BC4" w:rsidRPr="006E0AFE">
        <w:rPr>
          <w:lang w:eastAsia="en-US"/>
        </w:rPr>
        <w:t xml:space="preserve">Proračuna za </w:t>
      </w:r>
      <w:r w:rsidR="00055F66" w:rsidRPr="006E0AFE">
        <w:rPr>
          <w:lang w:eastAsia="en-US"/>
        </w:rPr>
        <w:t>2020</w:t>
      </w:r>
      <w:r w:rsidR="00BA4BC4" w:rsidRPr="006E0AFE">
        <w:rPr>
          <w:lang w:eastAsia="en-US"/>
        </w:rPr>
        <w:t>.</w:t>
      </w:r>
      <w:r w:rsidR="009C21CA" w:rsidRPr="006E0AFE">
        <w:rPr>
          <w:lang w:eastAsia="en-US"/>
        </w:rPr>
        <w:t xml:space="preserve"> </w:t>
      </w:r>
      <w:r w:rsidR="00BA4BC4" w:rsidRPr="006E0AFE">
        <w:rPr>
          <w:lang w:eastAsia="en-US"/>
        </w:rPr>
        <w:t>godinu uključena su i raspoloživa sredstva iz 201</w:t>
      </w:r>
      <w:r w:rsidR="00672050" w:rsidRPr="006E0AFE">
        <w:rPr>
          <w:lang w:eastAsia="en-US"/>
        </w:rPr>
        <w:t>9</w:t>
      </w:r>
      <w:r w:rsidR="00BA4BC4" w:rsidRPr="006E0AFE">
        <w:rPr>
          <w:lang w:eastAsia="en-US"/>
        </w:rPr>
        <w:t>.</w:t>
      </w:r>
      <w:r w:rsidR="009C21CA" w:rsidRPr="006E0AFE">
        <w:rPr>
          <w:lang w:eastAsia="en-US"/>
        </w:rPr>
        <w:t xml:space="preserve"> </w:t>
      </w:r>
      <w:r w:rsidR="00BA4BC4" w:rsidRPr="006E0AFE">
        <w:rPr>
          <w:lang w:eastAsia="en-US"/>
        </w:rPr>
        <w:t xml:space="preserve">godine (rezultat poslovanja) koja se u ovome trenutku ne planiraju Proračunom za </w:t>
      </w:r>
      <w:r w:rsidR="00055F66" w:rsidRPr="006E0AFE">
        <w:rPr>
          <w:lang w:eastAsia="en-US"/>
        </w:rPr>
        <w:t>2021</w:t>
      </w:r>
      <w:r w:rsidR="00BA4BC4" w:rsidRPr="006E0AFE">
        <w:rPr>
          <w:lang w:eastAsia="en-US"/>
        </w:rPr>
        <w:t>.</w:t>
      </w:r>
      <w:r w:rsidR="009C21CA" w:rsidRPr="006E0AFE">
        <w:rPr>
          <w:lang w:eastAsia="en-US"/>
        </w:rPr>
        <w:t xml:space="preserve"> </w:t>
      </w:r>
      <w:r w:rsidR="00BA4BC4" w:rsidRPr="006E0AFE">
        <w:rPr>
          <w:lang w:eastAsia="en-US"/>
        </w:rPr>
        <w:t>godinu</w:t>
      </w:r>
      <w:r w:rsidR="00672050" w:rsidRPr="006E0AFE">
        <w:rPr>
          <w:lang w:eastAsia="en-US"/>
        </w:rPr>
        <w:t xml:space="preserve"> već će se ost</w:t>
      </w:r>
      <w:r w:rsidR="00D6403F" w:rsidRPr="006E0AFE">
        <w:rPr>
          <w:lang w:eastAsia="en-US"/>
        </w:rPr>
        <w:t>va</w:t>
      </w:r>
      <w:r w:rsidR="00672050" w:rsidRPr="006E0AFE">
        <w:rPr>
          <w:lang w:eastAsia="en-US"/>
        </w:rPr>
        <w:t>reni rezultat za 2020.</w:t>
      </w:r>
      <w:r w:rsidR="009C21CA" w:rsidRPr="006E0AFE">
        <w:rPr>
          <w:lang w:eastAsia="en-US"/>
        </w:rPr>
        <w:t xml:space="preserve"> </w:t>
      </w:r>
      <w:r w:rsidR="00672050" w:rsidRPr="006E0AFE">
        <w:rPr>
          <w:lang w:eastAsia="en-US"/>
        </w:rPr>
        <w:t>godinu rasporediti u proračun za 2021.</w:t>
      </w:r>
      <w:r w:rsidR="009C21CA" w:rsidRPr="006E0AFE">
        <w:rPr>
          <w:lang w:eastAsia="en-US"/>
        </w:rPr>
        <w:t xml:space="preserve"> </w:t>
      </w:r>
      <w:r w:rsidR="00672050" w:rsidRPr="006E0AFE">
        <w:rPr>
          <w:lang w:eastAsia="en-US"/>
        </w:rPr>
        <w:t xml:space="preserve">godinu kada bude usvojeno </w:t>
      </w:r>
      <w:r w:rsidR="00D6403F" w:rsidRPr="006E0AFE">
        <w:rPr>
          <w:lang w:eastAsia="en-US"/>
        </w:rPr>
        <w:t>Godišnje izvješće o izvršenju proračuna</w:t>
      </w:r>
      <w:r w:rsidR="00672050" w:rsidRPr="006E0AFE">
        <w:rPr>
          <w:lang w:eastAsia="en-US"/>
        </w:rPr>
        <w:t>.</w:t>
      </w:r>
      <w:r w:rsidR="00D6403F" w:rsidRPr="006E0AFE">
        <w:rPr>
          <w:lang w:eastAsia="en-US"/>
        </w:rPr>
        <w:t xml:space="preserve"> Konačno</w:t>
      </w:r>
      <w:r w:rsidR="009C21CA" w:rsidRPr="006E0AFE">
        <w:rPr>
          <w:lang w:eastAsia="en-US"/>
        </w:rPr>
        <w:t>,</w:t>
      </w:r>
      <w:r w:rsidR="00D6403F" w:rsidRPr="006E0AFE">
        <w:rPr>
          <w:lang w:eastAsia="en-US"/>
        </w:rPr>
        <w:t xml:space="preserve"> razvidno je da se i u 2021.</w:t>
      </w:r>
      <w:r w:rsidR="009C21CA" w:rsidRPr="006E0AFE">
        <w:rPr>
          <w:lang w:eastAsia="en-US"/>
        </w:rPr>
        <w:t xml:space="preserve"> </w:t>
      </w:r>
      <w:r w:rsidR="00D6403F" w:rsidRPr="006E0AFE">
        <w:rPr>
          <w:lang w:eastAsia="en-US"/>
        </w:rPr>
        <w:t xml:space="preserve">godini planiraju primici od zaduživanja što se, kako je rečeno uvodno, planiraju </w:t>
      </w:r>
      <w:r w:rsidR="00D6403F" w:rsidRPr="006E0AFE">
        <w:rPr>
          <w:rFonts w:eastAsia="Calibri"/>
          <w:bCs/>
        </w:rPr>
        <w:t xml:space="preserve">kao izvor financiranja izgradnje nerazvrstanih cesta, uređenja zemljišta u RZ </w:t>
      </w:r>
      <w:proofErr w:type="spellStart"/>
      <w:r w:rsidR="00D6403F" w:rsidRPr="006E0AFE">
        <w:rPr>
          <w:rFonts w:eastAsia="Calibri"/>
          <w:bCs/>
        </w:rPr>
        <w:t>Miklavija</w:t>
      </w:r>
      <w:proofErr w:type="spellEnd"/>
      <w:r w:rsidR="00D6403F" w:rsidRPr="006E0AFE">
        <w:rPr>
          <w:rFonts w:eastAsia="Calibri"/>
          <w:bCs/>
        </w:rPr>
        <w:t xml:space="preserve"> te za obnovu javne rasvjete. Iako su planirani primici u 2021.</w:t>
      </w:r>
      <w:r w:rsidR="009C21CA" w:rsidRPr="006E0AFE">
        <w:rPr>
          <w:rFonts w:eastAsia="Calibri"/>
          <w:bCs/>
        </w:rPr>
        <w:t xml:space="preserve"> </w:t>
      </w:r>
      <w:r w:rsidR="00D6403F" w:rsidRPr="006E0AFE">
        <w:rPr>
          <w:rFonts w:eastAsia="Calibri"/>
          <w:bCs/>
        </w:rPr>
        <w:t>godini planirani za 33% više u odnosu na 2020.</w:t>
      </w:r>
      <w:r w:rsidR="009C21CA" w:rsidRPr="006E0AFE">
        <w:rPr>
          <w:rFonts w:eastAsia="Calibri"/>
          <w:bCs/>
        </w:rPr>
        <w:t xml:space="preserve"> </w:t>
      </w:r>
      <w:r w:rsidR="00D6403F" w:rsidRPr="006E0AFE">
        <w:rPr>
          <w:rFonts w:eastAsia="Calibri"/>
          <w:bCs/>
        </w:rPr>
        <w:t>godinu, ističemo da je kreditno zaduženje u 2020.</w:t>
      </w:r>
      <w:r w:rsidR="009C21CA" w:rsidRPr="006E0AFE">
        <w:rPr>
          <w:rFonts w:eastAsia="Calibri"/>
          <w:bCs/>
        </w:rPr>
        <w:t xml:space="preserve"> g</w:t>
      </w:r>
      <w:r w:rsidR="00D6403F" w:rsidRPr="006E0AFE">
        <w:rPr>
          <w:rFonts w:eastAsia="Calibri"/>
          <w:bCs/>
        </w:rPr>
        <w:t>odini rezultat odluka o zaduženju donesenih još 2019.</w:t>
      </w:r>
      <w:r w:rsidR="009C21CA" w:rsidRPr="006E0AFE">
        <w:rPr>
          <w:rFonts w:eastAsia="Calibri"/>
          <w:bCs/>
        </w:rPr>
        <w:t xml:space="preserve"> </w:t>
      </w:r>
      <w:r w:rsidR="00D6403F" w:rsidRPr="006E0AFE">
        <w:rPr>
          <w:rFonts w:eastAsia="Calibri"/>
          <w:bCs/>
        </w:rPr>
        <w:t>godine od koj</w:t>
      </w:r>
      <w:r w:rsidR="00420B1C" w:rsidRPr="006E0AFE">
        <w:rPr>
          <w:rFonts w:eastAsia="Calibri"/>
          <w:bCs/>
        </w:rPr>
        <w:t>ih</w:t>
      </w:r>
      <w:r w:rsidR="00D6403F" w:rsidRPr="006E0AFE">
        <w:rPr>
          <w:rFonts w:eastAsia="Calibri"/>
          <w:bCs/>
        </w:rPr>
        <w:t xml:space="preserve"> je dio kredita iskorišten u 2019., a dio u 2020.</w:t>
      </w:r>
      <w:r w:rsidR="009C21CA" w:rsidRPr="006E0AFE">
        <w:rPr>
          <w:rFonts w:eastAsia="Calibri"/>
          <w:bCs/>
        </w:rPr>
        <w:t xml:space="preserve"> </w:t>
      </w:r>
      <w:r w:rsidR="00D6403F" w:rsidRPr="006E0AFE">
        <w:rPr>
          <w:rFonts w:eastAsia="Calibri"/>
          <w:bCs/>
        </w:rPr>
        <w:t xml:space="preserve">godini. </w:t>
      </w:r>
    </w:p>
    <w:p w14:paraId="57A49855" w14:textId="77777777" w:rsidR="001A322D" w:rsidRPr="002148F4" w:rsidRDefault="001A322D" w:rsidP="00A76B83">
      <w:pPr>
        <w:jc w:val="both"/>
        <w:rPr>
          <w:highlight w:val="yellow"/>
          <w:lang w:eastAsia="en-US"/>
        </w:rPr>
      </w:pPr>
    </w:p>
    <w:p w14:paraId="6074E100" w14:textId="77777777" w:rsidR="001A322D" w:rsidRPr="006E0AFE" w:rsidRDefault="001A322D" w:rsidP="001A322D">
      <w:pPr>
        <w:jc w:val="both"/>
        <w:rPr>
          <w:lang w:eastAsia="en-US"/>
        </w:rPr>
      </w:pPr>
      <w:r w:rsidRPr="002148F4">
        <w:rPr>
          <w:rFonts w:eastAsia="Calibri"/>
          <w:b/>
        </w:rPr>
        <w:lastRenderedPageBreak/>
        <w:t xml:space="preserve">Projekcijom za </w:t>
      </w:r>
      <w:r w:rsidR="00055F66" w:rsidRPr="002148F4">
        <w:rPr>
          <w:rFonts w:eastAsia="Calibri"/>
          <w:b/>
        </w:rPr>
        <w:t>2022</w:t>
      </w:r>
      <w:r w:rsidRPr="002148F4">
        <w:rPr>
          <w:rFonts w:eastAsia="Calibri"/>
          <w:b/>
        </w:rPr>
        <w:t xml:space="preserve">. </w:t>
      </w:r>
      <w:r w:rsidR="009C21CA" w:rsidRPr="002148F4">
        <w:rPr>
          <w:rFonts w:eastAsia="Calibri"/>
          <w:b/>
        </w:rPr>
        <w:t xml:space="preserve">godinu </w:t>
      </w:r>
      <w:r w:rsidRPr="006E0AFE">
        <w:rPr>
          <w:rFonts w:eastAsia="Calibri"/>
          <w:bCs/>
        </w:rPr>
        <w:t xml:space="preserve">se planira smanjenje prihoda poslovanja u odnosu na </w:t>
      </w:r>
      <w:r w:rsidR="00055F66" w:rsidRPr="006E0AFE">
        <w:rPr>
          <w:rFonts w:eastAsia="Calibri"/>
          <w:bCs/>
        </w:rPr>
        <w:t>2021</w:t>
      </w:r>
      <w:r w:rsidRPr="006E0AFE">
        <w:rPr>
          <w:rFonts w:eastAsia="Calibri"/>
          <w:bCs/>
        </w:rPr>
        <w:t>.</w:t>
      </w:r>
      <w:r w:rsidR="009C21CA" w:rsidRPr="006E0AFE">
        <w:rPr>
          <w:rFonts w:eastAsia="Calibri"/>
          <w:bCs/>
        </w:rPr>
        <w:t xml:space="preserve"> </w:t>
      </w:r>
      <w:r w:rsidRPr="006E0AFE">
        <w:rPr>
          <w:rFonts w:eastAsia="Calibri"/>
          <w:bCs/>
        </w:rPr>
        <w:t>godinu</w:t>
      </w:r>
      <w:r w:rsidRPr="006E0AFE">
        <w:rPr>
          <w:rFonts w:eastAsia="Calibri"/>
          <w:b/>
        </w:rPr>
        <w:t xml:space="preserve"> </w:t>
      </w:r>
      <w:r w:rsidR="00D6403F" w:rsidRPr="006E0AFE">
        <w:rPr>
          <w:rFonts w:eastAsia="Calibri"/>
          <w:b/>
        </w:rPr>
        <w:t xml:space="preserve"> (-5,1%) </w:t>
      </w:r>
      <w:r w:rsidR="00D6403F" w:rsidRPr="006E0AFE">
        <w:rPr>
          <w:rFonts w:eastAsia="Calibri"/>
          <w:bCs/>
        </w:rPr>
        <w:t>dok se</w:t>
      </w:r>
      <w:r w:rsidR="00D6403F" w:rsidRPr="006E0AFE">
        <w:rPr>
          <w:rFonts w:eastAsia="Calibri"/>
          <w:b/>
        </w:rPr>
        <w:t xml:space="preserve"> Projekcijom za 2023.</w:t>
      </w:r>
      <w:r w:rsidR="009C21CA" w:rsidRPr="006E0AFE">
        <w:rPr>
          <w:rFonts w:eastAsia="Calibri"/>
          <w:b/>
        </w:rPr>
        <w:t xml:space="preserve"> </w:t>
      </w:r>
      <w:r w:rsidR="00D6403F" w:rsidRPr="006E0AFE">
        <w:rPr>
          <w:rFonts w:eastAsia="Calibri"/>
          <w:b/>
        </w:rPr>
        <w:t xml:space="preserve">godinu </w:t>
      </w:r>
      <w:r w:rsidR="00D6403F" w:rsidRPr="006E0AFE">
        <w:rPr>
          <w:rFonts w:eastAsia="Calibri"/>
          <w:bCs/>
        </w:rPr>
        <w:t>prihodi poslovanja planiraju na razini 2021.</w:t>
      </w:r>
      <w:r w:rsidR="009C21CA" w:rsidRPr="006E0AFE">
        <w:rPr>
          <w:rFonts w:eastAsia="Calibri"/>
          <w:bCs/>
        </w:rPr>
        <w:t xml:space="preserve"> </w:t>
      </w:r>
      <w:r w:rsidR="00D6403F" w:rsidRPr="006E0AFE">
        <w:rPr>
          <w:rFonts w:eastAsia="Calibri"/>
          <w:bCs/>
        </w:rPr>
        <w:t>godine,</w:t>
      </w:r>
      <w:r w:rsidR="009C21CA" w:rsidRPr="006E0AFE">
        <w:rPr>
          <w:rFonts w:eastAsia="Calibri"/>
          <w:bCs/>
        </w:rPr>
        <w:t xml:space="preserve"> </w:t>
      </w:r>
      <w:r w:rsidR="00D6403F" w:rsidRPr="006E0AFE">
        <w:rPr>
          <w:rFonts w:eastAsia="Calibri"/>
          <w:bCs/>
        </w:rPr>
        <w:t>a za 5,4% u odnosu na 2022.</w:t>
      </w:r>
      <w:r w:rsidR="009C21CA" w:rsidRPr="006E0AFE">
        <w:rPr>
          <w:rFonts w:eastAsia="Calibri"/>
          <w:bCs/>
        </w:rPr>
        <w:t xml:space="preserve"> </w:t>
      </w:r>
      <w:r w:rsidR="00D6403F" w:rsidRPr="006E0AFE">
        <w:rPr>
          <w:rFonts w:eastAsia="Calibri"/>
          <w:bCs/>
        </w:rPr>
        <w:t>godinu</w:t>
      </w:r>
      <w:r w:rsidR="00D6403F" w:rsidRPr="006E0AFE">
        <w:rPr>
          <w:rFonts w:eastAsia="Calibri"/>
          <w:b/>
        </w:rPr>
        <w:t xml:space="preserve">. </w:t>
      </w:r>
      <w:r w:rsidR="00D6403F" w:rsidRPr="006E0AFE">
        <w:rPr>
          <w:rFonts w:eastAsia="Calibri"/>
          <w:bCs/>
        </w:rPr>
        <w:t>Unutar projekcijom planiranih prihoda poslovanja dio prihoda poslov</w:t>
      </w:r>
      <w:r w:rsidR="00420B1C" w:rsidRPr="006E0AFE">
        <w:rPr>
          <w:rFonts w:eastAsia="Calibri"/>
          <w:bCs/>
        </w:rPr>
        <w:t>a</w:t>
      </w:r>
      <w:r w:rsidR="00D6403F" w:rsidRPr="006E0AFE">
        <w:rPr>
          <w:rFonts w:eastAsia="Calibri"/>
          <w:bCs/>
        </w:rPr>
        <w:t>n</w:t>
      </w:r>
      <w:r w:rsidR="00420B1C" w:rsidRPr="006E0AFE">
        <w:rPr>
          <w:rFonts w:eastAsia="Calibri"/>
          <w:bCs/>
        </w:rPr>
        <w:t>ja</w:t>
      </w:r>
      <w:r w:rsidR="00D6403F" w:rsidRPr="006E0AFE">
        <w:rPr>
          <w:rFonts w:eastAsia="Calibri"/>
          <w:bCs/>
        </w:rPr>
        <w:t xml:space="preserve"> se povećava u odnosu na 202</w:t>
      </w:r>
      <w:r w:rsidR="00420B1C" w:rsidRPr="006E0AFE">
        <w:rPr>
          <w:rFonts w:eastAsia="Calibri"/>
          <w:bCs/>
        </w:rPr>
        <w:t>1.</w:t>
      </w:r>
      <w:r w:rsidR="009C21CA" w:rsidRPr="006E0AFE">
        <w:rPr>
          <w:rFonts w:eastAsia="Calibri"/>
          <w:bCs/>
        </w:rPr>
        <w:t xml:space="preserve"> </w:t>
      </w:r>
      <w:r w:rsidR="00420B1C" w:rsidRPr="006E0AFE">
        <w:rPr>
          <w:rFonts w:eastAsia="Calibri"/>
          <w:bCs/>
        </w:rPr>
        <w:t>godinu (prihodi od poreza, prihodi po posebnim propisima, prihodi od imovine, kazne…) dok se smanjenje planira kod prihoda od pomoći</w:t>
      </w:r>
      <w:r w:rsidRPr="006E0AFE">
        <w:rPr>
          <w:rFonts w:eastAsia="Calibri"/>
          <w:bCs/>
        </w:rPr>
        <w:t>.</w:t>
      </w:r>
      <w:r w:rsidR="00420B1C" w:rsidRPr="006E0AFE">
        <w:rPr>
          <w:rFonts w:eastAsia="Calibri"/>
          <w:bCs/>
        </w:rPr>
        <w:t xml:space="preserve"> Smanjenje prihoda od pomoći rezultat je prvenstveno završetka velikog kapitalnog projekta sanacije odlagališta otpada </w:t>
      </w:r>
      <w:proofErr w:type="spellStart"/>
      <w:r w:rsidR="00420B1C" w:rsidRPr="006E0AFE">
        <w:rPr>
          <w:rFonts w:eastAsia="Calibri"/>
          <w:bCs/>
        </w:rPr>
        <w:t>Osojnica</w:t>
      </w:r>
      <w:proofErr w:type="spellEnd"/>
      <w:r w:rsidR="00420B1C" w:rsidRPr="006E0AFE">
        <w:rPr>
          <w:rFonts w:eastAsia="Calibri"/>
          <w:bCs/>
        </w:rPr>
        <w:t xml:space="preserve"> gdje je Općina povukla izuzetno značajan dio prihoda od pomoći pa su stoga usporedbe nezahvalne. Iz projekcijom planiranih prihoda pomoći razvidno je da se i nadalje očekuje sufinanciranje brojnih manjih projekata i aktivnosti iz EU i nacionalnih fondova i proračuna</w:t>
      </w:r>
      <w:r w:rsidR="009C21CA" w:rsidRPr="006E0AFE">
        <w:rPr>
          <w:rFonts w:eastAsia="Calibri"/>
          <w:bCs/>
        </w:rPr>
        <w:t xml:space="preserve">. </w:t>
      </w:r>
      <w:r w:rsidRPr="006E0AFE">
        <w:rPr>
          <w:rFonts w:eastAsia="Calibri"/>
          <w:bCs/>
        </w:rPr>
        <w:t>S druge strane planira se postepeni porast prihoda od poreza u prvom redu poreza i prireza na dohodak</w:t>
      </w:r>
      <w:r w:rsidRPr="006E0AFE">
        <w:rPr>
          <w:rFonts w:eastAsia="Calibri"/>
          <w:b/>
        </w:rPr>
        <w:t xml:space="preserve"> </w:t>
      </w:r>
      <w:r w:rsidRPr="006E0AFE">
        <w:rPr>
          <w:rFonts w:eastAsia="Calibri"/>
          <w:bCs/>
        </w:rPr>
        <w:t xml:space="preserve">te poreza na promet </w:t>
      </w:r>
      <w:r w:rsidR="00420B1C" w:rsidRPr="006E0AFE">
        <w:rPr>
          <w:rFonts w:eastAsia="Calibri"/>
          <w:bCs/>
        </w:rPr>
        <w:t xml:space="preserve">nekretnina što je u skladu sa procjenama rasta BDP-a </w:t>
      </w:r>
      <w:r w:rsidRPr="006E0AFE">
        <w:rPr>
          <w:rFonts w:eastAsia="Calibri"/>
          <w:bCs/>
        </w:rPr>
        <w:t xml:space="preserve">. Također se planira i porast prihoda od komunalne naknade te prihoda od komunalnog doprinosa (očekivani porast broja investicija). </w:t>
      </w:r>
      <w:r w:rsidRPr="006E0AFE">
        <w:rPr>
          <w:lang w:eastAsia="en-US"/>
        </w:rPr>
        <w:t xml:space="preserve">Pored toga Projekcijom se planira i </w:t>
      </w:r>
      <w:r w:rsidRPr="006E0AFE">
        <w:rPr>
          <w:b/>
          <w:bCs/>
          <w:lang w:eastAsia="en-US"/>
        </w:rPr>
        <w:t>porast prihoda od prodaje imovine</w:t>
      </w:r>
      <w:r w:rsidRPr="006E0AFE">
        <w:rPr>
          <w:lang w:eastAsia="en-US"/>
        </w:rPr>
        <w:t xml:space="preserve"> prvenstveno u dijelu zemljišta budući se očekuje rast interesa za nekretnine u vlasništvu Općine osobito unutar radnih zona.</w:t>
      </w:r>
    </w:p>
    <w:p w14:paraId="7EE89AF5" w14:textId="77777777" w:rsidR="00A31DD1" w:rsidRPr="006E0AFE" w:rsidRDefault="00A31DD1" w:rsidP="00A31DD1">
      <w:pPr>
        <w:jc w:val="both"/>
        <w:rPr>
          <w:sz w:val="22"/>
          <w:szCs w:val="22"/>
          <w:highlight w:val="yellow"/>
          <w:u w:val="single"/>
          <w:lang w:eastAsia="en-US"/>
        </w:rPr>
      </w:pPr>
    </w:p>
    <w:p w14:paraId="3C8DA0AA" w14:textId="77777777" w:rsidR="00E46340" w:rsidRPr="006E0AFE" w:rsidRDefault="00E46340" w:rsidP="00A31DD1">
      <w:pPr>
        <w:jc w:val="both"/>
        <w:rPr>
          <w:sz w:val="22"/>
          <w:szCs w:val="22"/>
          <w:highlight w:val="yellow"/>
          <w:u w:val="single"/>
          <w:lang w:eastAsia="en-US"/>
        </w:rPr>
      </w:pPr>
    </w:p>
    <w:p w14:paraId="205976BF" w14:textId="77777777" w:rsidR="00BA4BC4" w:rsidRPr="006E0AFE" w:rsidRDefault="00BA4BC4" w:rsidP="00A31DD1">
      <w:pPr>
        <w:numPr>
          <w:ilvl w:val="0"/>
          <w:numId w:val="4"/>
        </w:numPr>
        <w:jc w:val="both"/>
        <w:rPr>
          <w:b/>
          <w:bCs/>
          <w:i/>
          <w:iCs/>
          <w:u w:val="single"/>
          <w:lang w:eastAsia="en-US"/>
        </w:rPr>
      </w:pPr>
      <w:bookmarkStart w:id="2" w:name="_Hlk24210507"/>
      <w:r w:rsidRPr="006E0AFE">
        <w:rPr>
          <w:b/>
          <w:bCs/>
          <w:i/>
          <w:iCs/>
          <w:u w:val="single"/>
          <w:lang w:eastAsia="en-US"/>
        </w:rPr>
        <w:t>PRIHODI POSLOVANJA</w:t>
      </w:r>
    </w:p>
    <w:bookmarkEnd w:id="2"/>
    <w:p w14:paraId="232D40D3" w14:textId="77777777" w:rsidR="00A31DD1" w:rsidRPr="006E0AFE" w:rsidRDefault="00A31DD1" w:rsidP="00A31DD1">
      <w:pPr>
        <w:jc w:val="both"/>
        <w:rPr>
          <w:b/>
          <w:sz w:val="22"/>
          <w:szCs w:val="22"/>
          <w:u w:val="single"/>
          <w:lang w:eastAsia="en-US"/>
        </w:rPr>
      </w:pPr>
    </w:p>
    <w:p w14:paraId="1A1CA46A" w14:textId="77777777" w:rsidR="00A31DD1" w:rsidRPr="006E0AFE" w:rsidRDefault="00A31DD1" w:rsidP="00A31DD1">
      <w:pPr>
        <w:jc w:val="both"/>
        <w:rPr>
          <w:lang w:eastAsia="en-US"/>
        </w:rPr>
      </w:pPr>
      <w:r w:rsidRPr="006E0AFE">
        <w:rPr>
          <w:b/>
          <w:u w:val="single"/>
          <w:lang w:eastAsia="en-US"/>
        </w:rPr>
        <w:t xml:space="preserve">Prihodi poslovanja za </w:t>
      </w:r>
      <w:r w:rsidR="00055F66" w:rsidRPr="006E0AFE">
        <w:rPr>
          <w:b/>
          <w:u w:val="single"/>
          <w:lang w:eastAsia="en-US"/>
        </w:rPr>
        <w:t>2021</w:t>
      </w:r>
      <w:r w:rsidRPr="006E0AFE">
        <w:rPr>
          <w:b/>
          <w:u w:val="single"/>
          <w:lang w:eastAsia="en-US"/>
        </w:rPr>
        <w:t>.</w:t>
      </w:r>
      <w:r w:rsidR="009C21CA" w:rsidRPr="006E0AFE">
        <w:rPr>
          <w:b/>
          <w:u w:val="single"/>
          <w:lang w:eastAsia="en-US"/>
        </w:rPr>
        <w:t xml:space="preserve"> </w:t>
      </w:r>
      <w:r w:rsidRPr="006E0AFE">
        <w:rPr>
          <w:b/>
          <w:u w:val="single"/>
          <w:lang w:eastAsia="en-US"/>
        </w:rPr>
        <w:t>godinu</w:t>
      </w:r>
      <w:r w:rsidR="00D73BAF" w:rsidRPr="006E0AFE">
        <w:rPr>
          <w:b/>
          <w:u w:val="single"/>
          <w:lang w:eastAsia="en-US"/>
        </w:rPr>
        <w:t xml:space="preserve"> te </w:t>
      </w:r>
      <w:r w:rsidR="00055F66" w:rsidRPr="006E0AFE">
        <w:rPr>
          <w:b/>
          <w:u w:val="single"/>
          <w:lang w:eastAsia="en-US"/>
        </w:rPr>
        <w:t>2022</w:t>
      </w:r>
      <w:r w:rsidR="00D73BAF" w:rsidRPr="006E0AFE">
        <w:rPr>
          <w:b/>
          <w:u w:val="single"/>
          <w:lang w:eastAsia="en-US"/>
        </w:rPr>
        <w:t xml:space="preserve">. i </w:t>
      </w:r>
      <w:r w:rsidR="00055F66" w:rsidRPr="006E0AFE">
        <w:rPr>
          <w:b/>
          <w:u w:val="single"/>
          <w:lang w:eastAsia="en-US"/>
        </w:rPr>
        <w:t>2023</w:t>
      </w:r>
      <w:r w:rsidR="00D73BAF" w:rsidRPr="006E0AFE">
        <w:rPr>
          <w:b/>
          <w:u w:val="single"/>
          <w:lang w:eastAsia="en-US"/>
        </w:rPr>
        <w:t>.</w:t>
      </w:r>
      <w:r w:rsidR="009C21CA" w:rsidRPr="006E0AFE">
        <w:rPr>
          <w:b/>
          <w:u w:val="single"/>
          <w:lang w:eastAsia="en-US"/>
        </w:rPr>
        <w:t xml:space="preserve"> </w:t>
      </w:r>
      <w:r w:rsidR="00D73BAF" w:rsidRPr="006E0AFE">
        <w:rPr>
          <w:b/>
          <w:u w:val="single"/>
          <w:lang w:eastAsia="en-US"/>
        </w:rPr>
        <w:t>godinu</w:t>
      </w:r>
      <w:r w:rsidR="00785D5E" w:rsidRPr="006E0AFE">
        <w:rPr>
          <w:b/>
          <w:lang w:eastAsia="en-US"/>
        </w:rPr>
        <w:t xml:space="preserve"> </w:t>
      </w:r>
      <w:r w:rsidRPr="006E0AFE">
        <w:rPr>
          <w:lang w:eastAsia="en-US"/>
        </w:rPr>
        <w:t>planirani su kako slijedi:</w:t>
      </w:r>
    </w:p>
    <w:p w14:paraId="57DC2E1A" w14:textId="77777777" w:rsidR="00785D5E" w:rsidRPr="006E0AFE" w:rsidRDefault="00785D5E" w:rsidP="00A31DD1">
      <w:pPr>
        <w:jc w:val="both"/>
        <w:rPr>
          <w:sz w:val="22"/>
          <w:szCs w:val="22"/>
          <w:highlight w:val="yellow"/>
          <w:lang w:eastAsia="en-US"/>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306"/>
        <w:gridCol w:w="1306"/>
        <w:gridCol w:w="1215"/>
        <w:gridCol w:w="1306"/>
        <w:gridCol w:w="1306"/>
      </w:tblGrid>
      <w:tr w:rsidR="002A1EDD" w:rsidRPr="002A1EDD" w14:paraId="7A5289D8" w14:textId="77777777" w:rsidTr="00335946">
        <w:trPr>
          <w:trHeight w:val="264"/>
          <w:jc w:val="center"/>
        </w:trPr>
        <w:tc>
          <w:tcPr>
            <w:tcW w:w="3877" w:type="dxa"/>
            <w:vMerge w:val="restart"/>
            <w:shd w:val="clear" w:color="auto" w:fill="auto"/>
            <w:noWrap/>
            <w:vAlign w:val="center"/>
            <w:hideMark/>
          </w:tcPr>
          <w:p w14:paraId="34E1931B" w14:textId="77777777" w:rsidR="005E5FFD" w:rsidRPr="002A1EDD" w:rsidRDefault="005E5FFD" w:rsidP="00052A0C">
            <w:pPr>
              <w:numPr>
                <w:ilvl w:val="0"/>
                <w:numId w:val="20"/>
              </w:numPr>
              <w:jc w:val="center"/>
              <w:rPr>
                <w:color w:val="000000" w:themeColor="text1"/>
                <w:sz w:val="20"/>
                <w:szCs w:val="20"/>
                <w:lang w:val="en-GB" w:eastAsia="en-GB"/>
              </w:rPr>
            </w:pPr>
            <w:r w:rsidRPr="002A1EDD">
              <w:rPr>
                <w:b/>
                <w:bCs/>
                <w:color w:val="000000" w:themeColor="text1"/>
                <w:sz w:val="20"/>
                <w:szCs w:val="20"/>
              </w:rPr>
              <w:t>PRIHODI POSLOVANJA</w:t>
            </w:r>
          </w:p>
        </w:tc>
        <w:tc>
          <w:tcPr>
            <w:tcW w:w="1306" w:type="dxa"/>
            <w:shd w:val="clear" w:color="auto" w:fill="auto"/>
            <w:noWrap/>
            <w:vAlign w:val="center"/>
            <w:hideMark/>
          </w:tcPr>
          <w:p w14:paraId="4CD54FB8" w14:textId="77777777" w:rsidR="005E5FFD" w:rsidRPr="002A1EDD" w:rsidRDefault="005E5FFD" w:rsidP="005E5FFD">
            <w:pPr>
              <w:jc w:val="center"/>
              <w:rPr>
                <w:color w:val="000000" w:themeColor="text1"/>
                <w:sz w:val="20"/>
                <w:szCs w:val="20"/>
              </w:rPr>
            </w:pPr>
            <w:r w:rsidRPr="002A1EDD">
              <w:rPr>
                <w:color w:val="000000" w:themeColor="text1"/>
                <w:sz w:val="20"/>
                <w:szCs w:val="20"/>
              </w:rPr>
              <w:t>PRORAČUN</w:t>
            </w:r>
          </w:p>
        </w:tc>
        <w:tc>
          <w:tcPr>
            <w:tcW w:w="1306" w:type="dxa"/>
            <w:shd w:val="clear" w:color="auto" w:fill="auto"/>
            <w:noWrap/>
            <w:vAlign w:val="center"/>
            <w:hideMark/>
          </w:tcPr>
          <w:p w14:paraId="2E6028AD" w14:textId="77777777" w:rsidR="005E5FFD" w:rsidRPr="002A1EDD" w:rsidRDefault="005E5FFD" w:rsidP="005E5FFD">
            <w:pPr>
              <w:jc w:val="center"/>
              <w:rPr>
                <w:color w:val="000000" w:themeColor="text1"/>
                <w:sz w:val="20"/>
                <w:szCs w:val="20"/>
              </w:rPr>
            </w:pPr>
            <w:r w:rsidRPr="002A1EDD">
              <w:rPr>
                <w:color w:val="000000" w:themeColor="text1"/>
                <w:sz w:val="20"/>
                <w:szCs w:val="20"/>
              </w:rPr>
              <w:t xml:space="preserve">PRORAČUN </w:t>
            </w:r>
          </w:p>
        </w:tc>
        <w:tc>
          <w:tcPr>
            <w:tcW w:w="1215" w:type="dxa"/>
            <w:shd w:val="clear" w:color="auto" w:fill="auto"/>
            <w:noWrap/>
            <w:vAlign w:val="center"/>
            <w:hideMark/>
          </w:tcPr>
          <w:p w14:paraId="3A053EBA" w14:textId="77777777" w:rsidR="005E5FFD" w:rsidRPr="002A1EDD" w:rsidRDefault="005E5FFD" w:rsidP="005E5FFD">
            <w:pPr>
              <w:jc w:val="center"/>
              <w:rPr>
                <w:color w:val="000000" w:themeColor="text1"/>
                <w:sz w:val="20"/>
                <w:szCs w:val="20"/>
              </w:rPr>
            </w:pPr>
            <w:r w:rsidRPr="002A1EDD">
              <w:rPr>
                <w:color w:val="000000" w:themeColor="text1"/>
                <w:sz w:val="20"/>
                <w:szCs w:val="20"/>
              </w:rPr>
              <w:t>INDEKS</w:t>
            </w:r>
          </w:p>
        </w:tc>
        <w:tc>
          <w:tcPr>
            <w:tcW w:w="1306" w:type="dxa"/>
            <w:shd w:val="clear" w:color="auto" w:fill="auto"/>
            <w:vAlign w:val="center"/>
          </w:tcPr>
          <w:p w14:paraId="76444327" w14:textId="77777777" w:rsidR="005E5FFD" w:rsidRPr="002A1EDD" w:rsidRDefault="005E5FFD" w:rsidP="005E5FFD">
            <w:pPr>
              <w:jc w:val="center"/>
              <w:rPr>
                <w:color w:val="000000" w:themeColor="text1"/>
                <w:sz w:val="20"/>
                <w:szCs w:val="20"/>
              </w:rPr>
            </w:pPr>
            <w:r w:rsidRPr="002A1EDD">
              <w:rPr>
                <w:color w:val="000000" w:themeColor="text1"/>
                <w:sz w:val="20"/>
                <w:szCs w:val="20"/>
              </w:rPr>
              <w:t xml:space="preserve">PRORAČUN </w:t>
            </w:r>
          </w:p>
        </w:tc>
        <w:tc>
          <w:tcPr>
            <w:tcW w:w="1306" w:type="dxa"/>
            <w:shd w:val="clear" w:color="auto" w:fill="auto"/>
            <w:vAlign w:val="center"/>
          </w:tcPr>
          <w:p w14:paraId="33D12A5A" w14:textId="77777777" w:rsidR="005E5FFD" w:rsidRPr="002A1EDD" w:rsidRDefault="005E5FFD" w:rsidP="005E5FFD">
            <w:pPr>
              <w:jc w:val="center"/>
              <w:rPr>
                <w:color w:val="000000" w:themeColor="text1"/>
                <w:sz w:val="20"/>
                <w:szCs w:val="20"/>
              </w:rPr>
            </w:pPr>
            <w:r w:rsidRPr="002A1EDD">
              <w:rPr>
                <w:color w:val="000000" w:themeColor="text1"/>
                <w:sz w:val="20"/>
                <w:szCs w:val="20"/>
              </w:rPr>
              <w:t xml:space="preserve">PRORAČUN </w:t>
            </w:r>
          </w:p>
        </w:tc>
      </w:tr>
      <w:tr w:rsidR="002A1EDD" w:rsidRPr="002A1EDD" w14:paraId="2E151888" w14:textId="77777777" w:rsidTr="00335946">
        <w:trPr>
          <w:trHeight w:val="264"/>
          <w:jc w:val="center"/>
        </w:trPr>
        <w:tc>
          <w:tcPr>
            <w:tcW w:w="3877" w:type="dxa"/>
            <w:vMerge/>
            <w:shd w:val="clear" w:color="auto" w:fill="auto"/>
            <w:noWrap/>
            <w:vAlign w:val="center"/>
            <w:hideMark/>
          </w:tcPr>
          <w:p w14:paraId="4B7F2ACA" w14:textId="77777777" w:rsidR="00D73BAF" w:rsidRPr="002A1EDD" w:rsidRDefault="00D73BAF" w:rsidP="00D73BAF">
            <w:pPr>
              <w:jc w:val="center"/>
              <w:rPr>
                <w:color w:val="000000" w:themeColor="text1"/>
                <w:sz w:val="20"/>
                <w:szCs w:val="20"/>
              </w:rPr>
            </w:pPr>
          </w:p>
        </w:tc>
        <w:tc>
          <w:tcPr>
            <w:tcW w:w="1306" w:type="dxa"/>
            <w:shd w:val="clear" w:color="auto" w:fill="auto"/>
            <w:noWrap/>
            <w:vAlign w:val="center"/>
            <w:hideMark/>
          </w:tcPr>
          <w:p w14:paraId="68996305" w14:textId="77777777" w:rsidR="00D73BAF" w:rsidRPr="002A1EDD" w:rsidRDefault="00055F66" w:rsidP="00D73BAF">
            <w:pPr>
              <w:jc w:val="center"/>
              <w:rPr>
                <w:color w:val="000000" w:themeColor="text1"/>
                <w:sz w:val="20"/>
                <w:szCs w:val="20"/>
              </w:rPr>
            </w:pPr>
            <w:r w:rsidRPr="002A1EDD">
              <w:rPr>
                <w:color w:val="000000" w:themeColor="text1"/>
                <w:sz w:val="20"/>
                <w:szCs w:val="20"/>
              </w:rPr>
              <w:t>2020</w:t>
            </w:r>
          </w:p>
        </w:tc>
        <w:tc>
          <w:tcPr>
            <w:tcW w:w="1306" w:type="dxa"/>
            <w:shd w:val="clear" w:color="auto" w:fill="auto"/>
            <w:noWrap/>
            <w:vAlign w:val="center"/>
            <w:hideMark/>
          </w:tcPr>
          <w:p w14:paraId="5F789646" w14:textId="77777777" w:rsidR="00D73BAF" w:rsidRPr="002A1EDD" w:rsidRDefault="00055F66" w:rsidP="00D73BAF">
            <w:pPr>
              <w:jc w:val="center"/>
              <w:rPr>
                <w:color w:val="000000" w:themeColor="text1"/>
                <w:sz w:val="20"/>
                <w:szCs w:val="20"/>
              </w:rPr>
            </w:pPr>
            <w:r w:rsidRPr="002A1EDD">
              <w:rPr>
                <w:color w:val="000000" w:themeColor="text1"/>
                <w:sz w:val="20"/>
                <w:szCs w:val="20"/>
              </w:rPr>
              <w:t>2021</w:t>
            </w:r>
          </w:p>
        </w:tc>
        <w:tc>
          <w:tcPr>
            <w:tcW w:w="1215" w:type="dxa"/>
            <w:shd w:val="clear" w:color="auto" w:fill="auto"/>
            <w:noWrap/>
            <w:vAlign w:val="center"/>
          </w:tcPr>
          <w:p w14:paraId="3029E501" w14:textId="77777777" w:rsidR="00D73BAF" w:rsidRPr="002A1EDD" w:rsidRDefault="00055F66" w:rsidP="00D73BAF">
            <w:pPr>
              <w:jc w:val="center"/>
              <w:rPr>
                <w:color w:val="000000" w:themeColor="text1"/>
                <w:sz w:val="20"/>
                <w:szCs w:val="20"/>
              </w:rPr>
            </w:pPr>
            <w:r w:rsidRPr="002A1EDD">
              <w:rPr>
                <w:color w:val="000000" w:themeColor="text1"/>
                <w:sz w:val="20"/>
                <w:szCs w:val="20"/>
              </w:rPr>
              <w:t>2021</w:t>
            </w:r>
            <w:r w:rsidR="005E5FFD" w:rsidRPr="002A1EDD">
              <w:rPr>
                <w:color w:val="000000" w:themeColor="text1"/>
                <w:sz w:val="20"/>
                <w:szCs w:val="20"/>
              </w:rPr>
              <w:t>/</w:t>
            </w:r>
            <w:r w:rsidRPr="002A1EDD">
              <w:rPr>
                <w:color w:val="000000" w:themeColor="text1"/>
                <w:sz w:val="20"/>
                <w:szCs w:val="20"/>
              </w:rPr>
              <w:t>2020</w:t>
            </w:r>
          </w:p>
        </w:tc>
        <w:tc>
          <w:tcPr>
            <w:tcW w:w="1306" w:type="dxa"/>
            <w:shd w:val="clear" w:color="auto" w:fill="auto"/>
            <w:vAlign w:val="center"/>
          </w:tcPr>
          <w:p w14:paraId="52432E94" w14:textId="77777777" w:rsidR="00D73BAF" w:rsidRPr="002A1EDD" w:rsidRDefault="00055F66" w:rsidP="00D73BAF">
            <w:pPr>
              <w:jc w:val="center"/>
              <w:rPr>
                <w:color w:val="000000" w:themeColor="text1"/>
                <w:sz w:val="20"/>
                <w:szCs w:val="20"/>
              </w:rPr>
            </w:pPr>
            <w:r w:rsidRPr="002A1EDD">
              <w:rPr>
                <w:color w:val="000000" w:themeColor="text1"/>
                <w:sz w:val="20"/>
                <w:szCs w:val="20"/>
              </w:rPr>
              <w:t>2022</w:t>
            </w:r>
          </w:p>
        </w:tc>
        <w:tc>
          <w:tcPr>
            <w:tcW w:w="1306" w:type="dxa"/>
            <w:shd w:val="clear" w:color="auto" w:fill="auto"/>
            <w:vAlign w:val="center"/>
          </w:tcPr>
          <w:p w14:paraId="765ECE16" w14:textId="77777777" w:rsidR="00D73BAF" w:rsidRPr="002A1EDD" w:rsidRDefault="00055F66" w:rsidP="00D73BAF">
            <w:pPr>
              <w:jc w:val="center"/>
              <w:rPr>
                <w:color w:val="000000" w:themeColor="text1"/>
                <w:sz w:val="20"/>
                <w:szCs w:val="20"/>
              </w:rPr>
            </w:pPr>
            <w:r w:rsidRPr="002A1EDD">
              <w:rPr>
                <w:color w:val="000000" w:themeColor="text1"/>
                <w:sz w:val="20"/>
                <w:szCs w:val="20"/>
              </w:rPr>
              <w:t>2023</w:t>
            </w:r>
          </w:p>
        </w:tc>
      </w:tr>
      <w:tr w:rsidR="002A1EDD" w:rsidRPr="002A1EDD" w14:paraId="4F4E2920" w14:textId="77777777" w:rsidTr="00335946">
        <w:trPr>
          <w:trHeight w:val="288"/>
          <w:jc w:val="center"/>
        </w:trPr>
        <w:tc>
          <w:tcPr>
            <w:tcW w:w="3877" w:type="dxa"/>
            <w:shd w:val="clear" w:color="auto" w:fill="auto"/>
            <w:vAlign w:val="center"/>
            <w:hideMark/>
          </w:tcPr>
          <w:p w14:paraId="7A5ADAAA" w14:textId="77777777" w:rsidR="008C073D" w:rsidRPr="002A1EDD" w:rsidRDefault="008C073D" w:rsidP="008C073D">
            <w:pPr>
              <w:jc w:val="center"/>
              <w:rPr>
                <w:b/>
                <w:bCs/>
                <w:color w:val="000000" w:themeColor="text1"/>
              </w:rPr>
            </w:pPr>
            <w:r w:rsidRPr="002A1EDD">
              <w:rPr>
                <w:b/>
                <w:bCs/>
                <w:color w:val="000000" w:themeColor="text1"/>
              </w:rPr>
              <w:t>UKUPNO PRIHODI POSLOVANJA</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3B3FB" w14:textId="77777777" w:rsidR="008C073D" w:rsidRPr="002A1EDD" w:rsidRDefault="008C073D" w:rsidP="008C073D">
            <w:pPr>
              <w:jc w:val="right"/>
              <w:rPr>
                <w:b/>
                <w:bCs/>
                <w:color w:val="000000" w:themeColor="text1"/>
              </w:rPr>
            </w:pPr>
            <w:r w:rsidRPr="002A1EDD">
              <w:rPr>
                <w:b/>
                <w:bCs/>
                <w:color w:val="000000" w:themeColor="text1"/>
              </w:rPr>
              <w:t>72.565.746</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799C6059" w14:textId="77777777" w:rsidR="008C073D" w:rsidRPr="002A1EDD" w:rsidRDefault="008C073D" w:rsidP="008C073D">
            <w:pPr>
              <w:jc w:val="right"/>
              <w:rPr>
                <w:b/>
                <w:bCs/>
                <w:color w:val="000000" w:themeColor="text1"/>
              </w:rPr>
            </w:pPr>
            <w:r w:rsidRPr="002A1EDD">
              <w:rPr>
                <w:b/>
                <w:bCs/>
                <w:color w:val="000000" w:themeColor="text1"/>
              </w:rPr>
              <w:t>65.549.830</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7F293110" w14:textId="77777777" w:rsidR="008C073D" w:rsidRPr="002A1EDD" w:rsidRDefault="008C073D" w:rsidP="000A01E4">
            <w:pPr>
              <w:jc w:val="center"/>
              <w:rPr>
                <w:b/>
                <w:bCs/>
                <w:color w:val="000000" w:themeColor="text1"/>
              </w:rPr>
            </w:pPr>
            <w:r w:rsidRPr="002A1EDD">
              <w:rPr>
                <w:b/>
                <w:bCs/>
                <w:color w:val="000000" w:themeColor="text1"/>
              </w:rPr>
              <w:t>90,33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A4C2108" w14:textId="77777777" w:rsidR="008C073D" w:rsidRPr="002A1EDD" w:rsidRDefault="008C073D" w:rsidP="008C073D">
            <w:pPr>
              <w:jc w:val="right"/>
              <w:rPr>
                <w:b/>
                <w:bCs/>
                <w:color w:val="000000" w:themeColor="text1"/>
              </w:rPr>
            </w:pPr>
            <w:r w:rsidRPr="002A1EDD">
              <w:rPr>
                <w:b/>
                <w:bCs/>
                <w:color w:val="000000" w:themeColor="text1"/>
              </w:rPr>
              <w:t>62.209.105</w:t>
            </w:r>
          </w:p>
        </w:tc>
        <w:tc>
          <w:tcPr>
            <w:tcW w:w="1306" w:type="dxa"/>
            <w:tcBorders>
              <w:top w:val="single" w:sz="4" w:space="0" w:color="auto"/>
              <w:left w:val="nil"/>
              <w:bottom w:val="single" w:sz="4" w:space="0" w:color="auto"/>
              <w:right w:val="single" w:sz="4" w:space="0" w:color="auto"/>
            </w:tcBorders>
            <w:shd w:val="clear" w:color="auto" w:fill="auto"/>
            <w:vAlign w:val="center"/>
          </w:tcPr>
          <w:p w14:paraId="059C113E" w14:textId="77777777" w:rsidR="008C073D" w:rsidRPr="002A1EDD" w:rsidRDefault="008C073D" w:rsidP="008C073D">
            <w:pPr>
              <w:jc w:val="right"/>
              <w:rPr>
                <w:b/>
                <w:bCs/>
                <w:color w:val="000000" w:themeColor="text1"/>
              </w:rPr>
            </w:pPr>
            <w:r w:rsidRPr="002A1EDD">
              <w:rPr>
                <w:b/>
                <w:bCs/>
                <w:color w:val="000000" w:themeColor="text1"/>
              </w:rPr>
              <w:t>65.573.030</w:t>
            </w:r>
          </w:p>
        </w:tc>
      </w:tr>
      <w:tr w:rsidR="002A1EDD" w:rsidRPr="002A1EDD" w14:paraId="2616D155" w14:textId="77777777" w:rsidTr="00B47FC9">
        <w:trPr>
          <w:trHeight w:val="264"/>
          <w:jc w:val="center"/>
        </w:trPr>
        <w:tc>
          <w:tcPr>
            <w:tcW w:w="3877" w:type="dxa"/>
            <w:shd w:val="clear" w:color="auto" w:fill="auto"/>
            <w:vAlign w:val="center"/>
            <w:hideMark/>
          </w:tcPr>
          <w:p w14:paraId="048C93E9" w14:textId="77777777" w:rsidR="008C073D" w:rsidRPr="002A1EDD" w:rsidRDefault="008C073D" w:rsidP="00AE4422">
            <w:pPr>
              <w:ind w:left="360"/>
              <w:rPr>
                <w:b/>
                <w:bCs/>
                <w:color w:val="000000" w:themeColor="text1"/>
                <w:sz w:val="22"/>
                <w:szCs w:val="22"/>
              </w:rPr>
            </w:pPr>
            <w:r w:rsidRPr="002A1EDD">
              <w:rPr>
                <w:b/>
                <w:bCs/>
                <w:color w:val="000000" w:themeColor="text1"/>
                <w:sz w:val="22"/>
                <w:szCs w:val="22"/>
              </w:rPr>
              <w:t>1</w:t>
            </w:r>
            <w:r w:rsidR="00AE4422" w:rsidRPr="002A1EDD">
              <w:rPr>
                <w:b/>
                <w:bCs/>
                <w:color w:val="000000" w:themeColor="text1"/>
                <w:sz w:val="22"/>
                <w:szCs w:val="22"/>
              </w:rPr>
              <w:t>.A</w:t>
            </w:r>
            <w:r w:rsidRPr="002A1EDD">
              <w:rPr>
                <w:b/>
                <w:bCs/>
                <w:color w:val="000000" w:themeColor="text1"/>
                <w:sz w:val="22"/>
                <w:szCs w:val="22"/>
              </w:rPr>
              <w:t>. PRIHODI OD POREZA (61)</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2012F89C" w14:textId="77777777" w:rsidR="008C073D" w:rsidRPr="002A1EDD" w:rsidRDefault="008C073D" w:rsidP="008C073D">
            <w:pPr>
              <w:jc w:val="right"/>
              <w:rPr>
                <w:b/>
                <w:bCs/>
                <w:color w:val="000000" w:themeColor="text1"/>
                <w:sz w:val="22"/>
                <w:szCs w:val="22"/>
              </w:rPr>
            </w:pPr>
            <w:r w:rsidRPr="002A1EDD">
              <w:rPr>
                <w:b/>
                <w:bCs/>
                <w:color w:val="000000" w:themeColor="text1"/>
                <w:sz w:val="22"/>
                <w:szCs w:val="22"/>
              </w:rPr>
              <w:t>27.721.800</w:t>
            </w:r>
          </w:p>
        </w:tc>
        <w:tc>
          <w:tcPr>
            <w:tcW w:w="1306" w:type="dxa"/>
            <w:tcBorders>
              <w:top w:val="nil"/>
              <w:left w:val="nil"/>
              <w:bottom w:val="single" w:sz="4" w:space="0" w:color="auto"/>
              <w:right w:val="single" w:sz="4" w:space="0" w:color="auto"/>
            </w:tcBorders>
            <w:shd w:val="clear" w:color="auto" w:fill="auto"/>
            <w:vAlign w:val="center"/>
            <w:hideMark/>
          </w:tcPr>
          <w:p w14:paraId="12D83D89" w14:textId="77777777" w:rsidR="008C073D" w:rsidRPr="002A1EDD" w:rsidRDefault="008C073D" w:rsidP="008C073D">
            <w:pPr>
              <w:jc w:val="right"/>
              <w:rPr>
                <w:b/>
                <w:bCs/>
                <w:color w:val="000000" w:themeColor="text1"/>
                <w:sz w:val="22"/>
                <w:szCs w:val="22"/>
              </w:rPr>
            </w:pPr>
            <w:r w:rsidRPr="002A1EDD">
              <w:rPr>
                <w:b/>
                <w:bCs/>
                <w:color w:val="000000" w:themeColor="text1"/>
                <w:sz w:val="22"/>
                <w:szCs w:val="22"/>
              </w:rPr>
              <w:t>29.860.000</w:t>
            </w:r>
          </w:p>
        </w:tc>
        <w:tc>
          <w:tcPr>
            <w:tcW w:w="1215" w:type="dxa"/>
            <w:tcBorders>
              <w:top w:val="nil"/>
              <w:left w:val="nil"/>
              <w:bottom w:val="single" w:sz="4" w:space="0" w:color="auto"/>
              <w:right w:val="single" w:sz="4" w:space="0" w:color="auto"/>
            </w:tcBorders>
            <w:shd w:val="clear" w:color="auto" w:fill="auto"/>
            <w:vAlign w:val="center"/>
            <w:hideMark/>
          </w:tcPr>
          <w:p w14:paraId="0CBD617A" w14:textId="77777777" w:rsidR="008C073D" w:rsidRPr="002A1EDD" w:rsidRDefault="008C073D" w:rsidP="000A01E4">
            <w:pPr>
              <w:jc w:val="center"/>
              <w:rPr>
                <w:b/>
                <w:bCs/>
                <w:color w:val="000000" w:themeColor="text1"/>
                <w:sz w:val="22"/>
                <w:szCs w:val="22"/>
              </w:rPr>
            </w:pPr>
            <w:r w:rsidRPr="002A1EDD">
              <w:rPr>
                <w:b/>
                <w:bCs/>
                <w:color w:val="000000" w:themeColor="text1"/>
                <w:sz w:val="22"/>
                <w:szCs w:val="22"/>
              </w:rPr>
              <w:t>107,71</w:t>
            </w:r>
          </w:p>
        </w:tc>
        <w:tc>
          <w:tcPr>
            <w:tcW w:w="1306" w:type="dxa"/>
            <w:tcBorders>
              <w:top w:val="nil"/>
              <w:left w:val="single" w:sz="4" w:space="0" w:color="auto"/>
              <w:bottom w:val="single" w:sz="4" w:space="0" w:color="auto"/>
              <w:right w:val="single" w:sz="4" w:space="0" w:color="auto"/>
            </w:tcBorders>
            <w:shd w:val="clear" w:color="auto" w:fill="auto"/>
            <w:vAlign w:val="center"/>
          </w:tcPr>
          <w:p w14:paraId="58513B58" w14:textId="77777777" w:rsidR="008C073D" w:rsidRPr="002A1EDD" w:rsidRDefault="008C073D" w:rsidP="008C073D">
            <w:pPr>
              <w:jc w:val="right"/>
              <w:rPr>
                <w:b/>
                <w:bCs/>
                <w:color w:val="000000" w:themeColor="text1"/>
                <w:sz w:val="22"/>
                <w:szCs w:val="22"/>
              </w:rPr>
            </w:pPr>
            <w:r w:rsidRPr="002A1EDD">
              <w:rPr>
                <w:b/>
                <w:bCs/>
                <w:color w:val="000000" w:themeColor="text1"/>
                <w:sz w:val="22"/>
                <w:szCs w:val="22"/>
              </w:rPr>
              <w:t>33.050.000</w:t>
            </w:r>
          </w:p>
        </w:tc>
        <w:tc>
          <w:tcPr>
            <w:tcW w:w="1306" w:type="dxa"/>
            <w:tcBorders>
              <w:top w:val="nil"/>
              <w:left w:val="nil"/>
              <w:bottom w:val="single" w:sz="4" w:space="0" w:color="auto"/>
              <w:right w:val="single" w:sz="4" w:space="0" w:color="auto"/>
            </w:tcBorders>
            <w:shd w:val="clear" w:color="auto" w:fill="auto"/>
            <w:vAlign w:val="center"/>
          </w:tcPr>
          <w:p w14:paraId="3F5E7762" w14:textId="77777777" w:rsidR="008C073D" w:rsidRPr="002A1EDD" w:rsidRDefault="008C073D" w:rsidP="008C073D">
            <w:pPr>
              <w:jc w:val="right"/>
              <w:rPr>
                <w:b/>
                <w:bCs/>
                <w:color w:val="000000" w:themeColor="text1"/>
                <w:sz w:val="22"/>
                <w:szCs w:val="22"/>
              </w:rPr>
            </w:pPr>
            <w:r w:rsidRPr="002A1EDD">
              <w:rPr>
                <w:b/>
                <w:bCs/>
                <w:color w:val="000000" w:themeColor="text1"/>
                <w:sz w:val="22"/>
                <w:szCs w:val="22"/>
              </w:rPr>
              <w:t>35.100.000</w:t>
            </w:r>
          </w:p>
        </w:tc>
      </w:tr>
      <w:tr w:rsidR="002A1EDD" w:rsidRPr="002A1EDD" w14:paraId="40755873" w14:textId="77777777" w:rsidTr="003C150F">
        <w:trPr>
          <w:trHeight w:val="264"/>
          <w:jc w:val="center"/>
        </w:trPr>
        <w:tc>
          <w:tcPr>
            <w:tcW w:w="3877" w:type="dxa"/>
            <w:shd w:val="clear" w:color="auto" w:fill="auto"/>
            <w:vAlign w:val="center"/>
            <w:hideMark/>
          </w:tcPr>
          <w:p w14:paraId="54695E7A" w14:textId="77777777" w:rsidR="008C073D" w:rsidRPr="002A1EDD" w:rsidRDefault="008C073D" w:rsidP="008C073D">
            <w:pPr>
              <w:jc w:val="right"/>
              <w:rPr>
                <w:color w:val="000000" w:themeColor="text1"/>
                <w:sz w:val="20"/>
                <w:szCs w:val="20"/>
              </w:rPr>
            </w:pPr>
            <w:r w:rsidRPr="002A1EDD">
              <w:rPr>
                <w:color w:val="000000" w:themeColor="text1"/>
                <w:sz w:val="20"/>
                <w:szCs w:val="20"/>
              </w:rPr>
              <w:t xml:space="preserve">Porez i prirez na dohodak </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695A5BCA" w14:textId="77777777" w:rsidR="008C073D" w:rsidRPr="002A1EDD" w:rsidRDefault="008C073D" w:rsidP="008C073D">
            <w:pPr>
              <w:jc w:val="right"/>
              <w:rPr>
                <w:color w:val="000000" w:themeColor="text1"/>
                <w:sz w:val="20"/>
                <w:szCs w:val="20"/>
              </w:rPr>
            </w:pPr>
            <w:r w:rsidRPr="002A1EDD">
              <w:rPr>
                <w:color w:val="000000" w:themeColor="text1"/>
                <w:sz w:val="18"/>
                <w:szCs w:val="18"/>
              </w:rPr>
              <w:t>24.260.000</w:t>
            </w:r>
          </w:p>
        </w:tc>
        <w:tc>
          <w:tcPr>
            <w:tcW w:w="1306" w:type="dxa"/>
            <w:tcBorders>
              <w:top w:val="nil"/>
              <w:left w:val="nil"/>
              <w:bottom w:val="single" w:sz="4" w:space="0" w:color="auto"/>
              <w:right w:val="single" w:sz="4" w:space="0" w:color="auto"/>
            </w:tcBorders>
            <w:shd w:val="clear" w:color="auto" w:fill="auto"/>
            <w:vAlign w:val="center"/>
            <w:hideMark/>
          </w:tcPr>
          <w:p w14:paraId="4A803CAF" w14:textId="77777777" w:rsidR="008C073D" w:rsidRPr="002A1EDD" w:rsidRDefault="008C073D" w:rsidP="008C073D">
            <w:pPr>
              <w:jc w:val="right"/>
              <w:rPr>
                <w:color w:val="000000" w:themeColor="text1"/>
                <w:sz w:val="20"/>
                <w:szCs w:val="20"/>
              </w:rPr>
            </w:pPr>
            <w:r w:rsidRPr="002A1EDD">
              <w:rPr>
                <w:color w:val="000000" w:themeColor="text1"/>
                <w:sz w:val="18"/>
                <w:szCs w:val="18"/>
              </w:rPr>
              <w:t>26.200.000</w:t>
            </w:r>
          </w:p>
        </w:tc>
        <w:tc>
          <w:tcPr>
            <w:tcW w:w="1215" w:type="dxa"/>
            <w:tcBorders>
              <w:top w:val="nil"/>
              <w:left w:val="nil"/>
              <w:bottom w:val="single" w:sz="4" w:space="0" w:color="auto"/>
              <w:right w:val="single" w:sz="4" w:space="0" w:color="auto"/>
            </w:tcBorders>
            <w:shd w:val="clear" w:color="auto" w:fill="auto"/>
            <w:vAlign w:val="center"/>
            <w:hideMark/>
          </w:tcPr>
          <w:p w14:paraId="34A4D96C" w14:textId="77777777" w:rsidR="008C073D" w:rsidRPr="002A1EDD" w:rsidRDefault="008C073D" w:rsidP="000A01E4">
            <w:pPr>
              <w:jc w:val="center"/>
              <w:rPr>
                <w:color w:val="000000" w:themeColor="text1"/>
                <w:sz w:val="20"/>
                <w:szCs w:val="20"/>
              </w:rPr>
            </w:pPr>
            <w:r w:rsidRPr="002A1EDD">
              <w:rPr>
                <w:color w:val="000000" w:themeColor="text1"/>
                <w:sz w:val="18"/>
                <w:szCs w:val="18"/>
              </w:rPr>
              <w:t>108,00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3335C187" w14:textId="77777777" w:rsidR="008C073D" w:rsidRPr="002A1EDD" w:rsidRDefault="008C073D" w:rsidP="008C073D">
            <w:pPr>
              <w:jc w:val="right"/>
              <w:rPr>
                <w:color w:val="000000" w:themeColor="text1"/>
                <w:sz w:val="20"/>
                <w:szCs w:val="20"/>
              </w:rPr>
            </w:pPr>
            <w:r w:rsidRPr="002A1EDD">
              <w:rPr>
                <w:color w:val="000000" w:themeColor="text1"/>
                <w:sz w:val="18"/>
                <w:szCs w:val="18"/>
              </w:rPr>
              <w:t>28.500.000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304E21D9" w14:textId="77777777" w:rsidR="008C073D" w:rsidRPr="002A1EDD" w:rsidRDefault="008C073D" w:rsidP="008C073D">
            <w:pPr>
              <w:jc w:val="right"/>
              <w:rPr>
                <w:color w:val="000000" w:themeColor="text1"/>
                <w:sz w:val="20"/>
                <w:szCs w:val="20"/>
              </w:rPr>
            </w:pPr>
            <w:r w:rsidRPr="002A1EDD">
              <w:rPr>
                <w:color w:val="000000" w:themeColor="text1"/>
                <w:sz w:val="18"/>
                <w:szCs w:val="18"/>
              </w:rPr>
              <w:t>30.000.000</w:t>
            </w:r>
          </w:p>
        </w:tc>
      </w:tr>
      <w:tr w:rsidR="002A1EDD" w:rsidRPr="002A1EDD" w14:paraId="2E7A6990" w14:textId="77777777" w:rsidTr="003C150F">
        <w:trPr>
          <w:trHeight w:val="264"/>
          <w:jc w:val="center"/>
        </w:trPr>
        <w:tc>
          <w:tcPr>
            <w:tcW w:w="3877" w:type="dxa"/>
            <w:shd w:val="clear" w:color="auto" w:fill="auto"/>
            <w:vAlign w:val="center"/>
            <w:hideMark/>
          </w:tcPr>
          <w:p w14:paraId="70CF0CB7" w14:textId="77777777" w:rsidR="008C073D" w:rsidRPr="002A1EDD" w:rsidRDefault="008C073D" w:rsidP="008C073D">
            <w:pPr>
              <w:jc w:val="right"/>
              <w:rPr>
                <w:color w:val="000000" w:themeColor="text1"/>
                <w:sz w:val="20"/>
                <w:szCs w:val="20"/>
              </w:rPr>
            </w:pPr>
            <w:r w:rsidRPr="002A1EDD">
              <w:rPr>
                <w:color w:val="000000" w:themeColor="text1"/>
                <w:sz w:val="20"/>
                <w:szCs w:val="20"/>
              </w:rPr>
              <w:t xml:space="preserve">Porez na potrošnju </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5227B99F" w14:textId="77777777" w:rsidR="008C073D" w:rsidRPr="002A1EDD" w:rsidRDefault="008C073D" w:rsidP="008C073D">
            <w:pPr>
              <w:jc w:val="right"/>
              <w:rPr>
                <w:color w:val="000000" w:themeColor="text1"/>
                <w:sz w:val="20"/>
                <w:szCs w:val="20"/>
              </w:rPr>
            </w:pPr>
            <w:r w:rsidRPr="002A1EDD">
              <w:rPr>
                <w:color w:val="000000" w:themeColor="text1"/>
                <w:sz w:val="18"/>
                <w:szCs w:val="18"/>
              </w:rPr>
              <w:t>200.000</w:t>
            </w:r>
          </w:p>
        </w:tc>
        <w:tc>
          <w:tcPr>
            <w:tcW w:w="1306" w:type="dxa"/>
            <w:tcBorders>
              <w:top w:val="nil"/>
              <w:left w:val="nil"/>
              <w:bottom w:val="single" w:sz="4" w:space="0" w:color="auto"/>
              <w:right w:val="single" w:sz="4" w:space="0" w:color="auto"/>
            </w:tcBorders>
            <w:shd w:val="clear" w:color="auto" w:fill="auto"/>
            <w:vAlign w:val="center"/>
            <w:hideMark/>
          </w:tcPr>
          <w:p w14:paraId="5908ED64" w14:textId="77777777" w:rsidR="008C073D" w:rsidRPr="002A1EDD" w:rsidRDefault="008C073D" w:rsidP="008C073D">
            <w:pPr>
              <w:jc w:val="right"/>
              <w:rPr>
                <w:color w:val="000000" w:themeColor="text1"/>
                <w:sz w:val="20"/>
                <w:szCs w:val="20"/>
              </w:rPr>
            </w:pPr>
            <w:r w:rsidRPr="002A1EDD">
              <w:rPr>
                <w:color w:val="000000" w:themeColor="text1"/>
                <w:sz w:val="18"/>
                <w:szCs w:val="18"/>
              </w:rPr>
              <w:t>280.000</w:t>
            </w:r>
          </w:p>
        </w:tc>
        <w:tc>
          <w:tcPr>
            <w:tcW w:w="1215" w:type="dxa"/>
            <w:tcBorders>
              <w:top w:val="nil"/>
              <w:left w:val="nil"/>
              <w:bottom w:val="single" w:sz="4" w:space="0" w:color="auto"/>
              <w:right w:val="single" w:sz="4" w:space="0" w:color="auto"/>
            </w:tcBorders>
            <w:shd w:val="clear" w:color="auto" w:fill="auto"/>
            <w:vAlign w:val="center"/>
            <w:hideMark/>
          </w:tcPr>
          <w:p w14:paraId="4687ECFF" w14:textId="77777777" w:rsidR="008C073D" w:rsidRPr="002A1EDD" w:rsidRDefault="008C073D" w:rsidP="000A01E4">
            <w:pPr>
              <w:jc w:val="center"/>
              <w:rPr>
                <w:color w:val="000000" w:themeColor="text1"/>
                <w:sz w:val="20"/>
                <w:szCs w:val="20"/>
              </w:rPr>
            </w:pPr>
            <w:r w:rsidRPr="002A1EDD">
              <w:rPr>
                <w:color w:val="000000" w:themeColor="text1"/>
                <w:sz w:val="18"/>
                <w:szCs w:val="18"/>
              </w:rPr>
              <w:t>140,00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679BBA0B" w14:textId="77777777" w:rsidR="008C073D" w:rsidRPr="002A1EDD" w:rsidRDefault="008C073D" w:rsidP="008C073D">
            <w:pPr>
              <w:jc w:val="right"/>
              <w:rPr>
                <w:color w:val="000000" w:themeColor="text1"/>
                <w:sz w:val="20"/>
                <w:szCs w:val="20"/>
              </w:rPr>
            </w:pPr>
            <w:r w:rsidRPr="002A1EDD">
              <w:rPr>
                <w:color w:val="000000" w:themeColor="text1"/>
                <w:sz w:val="18"/>
                <w:szCs w:val="18"/>
              </w:rPr>
              <w:t>300.000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5C3D15CE" w14:textId="77777777" w:rsidR="008C073D" w:rsidRPr="002A1EDD" w:rsidRDefault="008C073D" w:rsidP="008C073D">
            <w:pPr>
              <w:jc w:val="right"/>
              <w:rPr>
                <w:color w:val="000000" w:themeColor="text1"/>
                <w:sz w:val="20"/>
                <w:szCs w:val="20"/>
              </w:rPr>
            </w:pPr>
            <w:r w:rsidRPr="002A1EDD">
              <w:rPr>
                <w:color w:val="000000" w:themeColor="text1"/>
                <w:sz w:val="18"/>
                <w:szCs w:val="18"/>
              </w:rPr>
              <w:t>350.000</w:t>
            </w:r>
          </w:p>
        </w:tc>
      </w:tr>
      <w:tr w:rsidR="002A1EDD" w:rsidRPr="002A1EDD" w14:paraId="20211F4C" w14:textId="77777777" w:rsidTr="003C150F">
        <w:trPr>
          <w:trHeight w:val="264"/>
          <w:jc w:val="center"/>
        </w:trPr>
        <w:tc>
          <w:tcPr>
            <w:tcW w:w="3877" w:type="dxa"/>
            <w:shd w:val="clear" w:color="auto" w:fill="auto"/>
            <w:vAlign w:val="center"/>
            <w:hideMark/>
          </w:tcPr>
          <w:p w14:paraId="2930781B" w14:textId="77777777" w:rsidR="008C073D" w:rsidRPr="002A1EDD" w:rsidRDefault="008C073D" w:rsidP="008C073D">
            <w:pPr>
              <w:jc w:val="right"/>
              <w:rPr>
                <w:color w:val="000000" w:themeColor="text1"/>
                <w:sz w:val="20"/>
                <w:szCs w:val="20"/>
              </w:rPr>
            </w:pPr>
            <w:r w:rsidRPr="002A1EDD">
              <w:rPr>
                <w:color w:val="000000" w:themeColor="text1"/>
                <w:sz w:val="20"/>
                <w:szCs w:val="20"/>
              </w:rPr>
              <w:t>Porez na promet nekretnina</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437C5F87" w14:textId="77777777" w:rsidR="008C073D" w:rsidRPr="002A1EDD" w:rsidRDefault="008C073D" w:rsidP="008C073D">
            <w:pPr>
              <w:jc w:val="right"/>
              <w:rPr>
                <w:color w:val="000000" w:themeColor="text1"/>
                <w:sz w:val="20"/>
                <w:szCs w:val="20"/>
              </w:rPr>
            </w:pPr>
            <w:r w:rsidRPr="002A1EDD">
              <w:rPr>
                <w:color w:val="000000" w:themeColor="text1"/>
                <w:sz w:val="18"/>
                <w:szCs w:val="18"/>
              </w:rPr>
              <w:t>3.150.000</w:t>
            </w:r>
          </w:p>
        </w:tc>
        <w:tc>
          <w:tcPr>
            <w:tcW w:w="1306" w:type="dxa"/>
            <w:tcBorders>
              <w:top w:val="nil"/>
              <w:left w:val="nil"/>
              <w:bottom w:val="single" w:sz="4" w:space="0" w:color="auto"/>
              <w:right w:val="single" w:sz="4" w:space="0" w:color="auto"/>
            </w:tcBorders>
            <w:shd w:val="clear" w:color="auto" w:fill="auto"/>
            <w:vAlign w:val="center"/>
            <w:hideMark/>
          </w:tcPr>
          <w:p w14:paraId="15698EF8" w14:textId="77777777" w:rsidR="008C073D" w:rsidRPr="002A1EDD" w:rsidRDefault="008C073D" w:rsidP="008C073D">
            <w:pPr>
              <w:jc w:val="right"/>
              <w:rPr>
                <w:color w:val="000000" w:themeColor="text1"/>
                <w:sz w:val="20"/>
                <w:szCs w:val="20"/>
              </w:rPr>
            </w:pPr>
            <w:r w:rsidRPr="002A1EDD">
              <w:rPr>
                <w:color w:val="000000" w:themeColor="text1"/>
                <w:sz w:val="18"/>
                <w:szCs w:val="18"/>
              </w:rPr>
              <w:t>3.200.000</w:t>
            </w:r>
          </w:p>
        </w:tc>
        <w:tc>
          <w:tcPr>
            <w:tcW w:w="1215" w:type="dxa"/>
            <w:tcBorders>
              <w:top w:val="nil"/>
              <w:left w:val="nil"/>
              <w:bottom w:val="single" w:sz="4" w:space="0" w:color="auto"/>
              <w:right w:val="single" w:sz="4" w:space="0" w:color="auto"/>
            </w:tcBorders>
            <w:shd w:val="clear" w:color="auto" w:fill="auto"/>
            <w:vAlign w:val="center"/>
            <w:hideMark/>
          </w:tcPr>
          <w:p w14:paraId="0D9E7A2B" w14:textId="77777777" w:rsidR="008C073D" w:rsidRPr="002A1EDD" w:rsidRDefault="008C073D" w:rsidP="000A01E4">
            <w:pPr>
              <w:jc w:val="center"/>
              <w:rPr>
                <w:color w:val="000000" w:themeColor="text1"/>
                <w:sz w:val="20"/>
                <w:szCs w:val="20"/>
              </w:rPr>
            </w:pPr>
            <w:r w:rsidRPr="002A1EDD">
              <w:rPr>
                <w:color w:val="000000" w:themeColor="text1"/>
                <w:sz w:val="18"/>
                <w:szCs w:val="18"/>
              </w:rPr>
              <w:t>101,59</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13C16E55" w14:textId="77777777" w:rsidR="008C073D" w:rsidRPr="002A1EDD" w:rsidRDefault="008C073D" w:rsidP="008C073D">
            <w:pPr>
              <w:jc w:val="right"/>
              <w:rPr>
                <w:color w:val="000000" w:themeColor="text1"/>
                <w:sz w:val="20"/>
                <w:szCs w:val="20"/>
              </w:rPr>
            </w:pPr>
            <w:r w:rsidRPr="002A1EDD">
              <w:rPr>
                <w:color w:val="000000" w:themeColor="text1"/>
                <w:sz w:val="18"/>
                <w:szCs w:val="18"/>
              </w:rPr>
              <w:t>4.000.000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7EB27AE2" w14:textId="77777777" w:rsidR="008C073D" w:rsidRPr="002A1EDD" w:rsidRDefault="008C073D" w:rsidP="008C073D">
            <w:pPr>
              <w:jc w:val="right"/>
              <w:rPr>
                <w:color w:val="000000" w:themeColor="text1"/>
                <w:sz w:val="20"/>
                <w:szCs w:val="20"/>
              </w:rPr>
            </w:pPr>
            <w:r w:rsidRPr="002A1EDD">
              <w:rPr>
                <w:color w:val="000000" w:themeColor="text1"/>
                <w:sz w:val="18"/>
                <w:szCs w:val="18"/>
              </w:rPr>
              <w:t>4.500.000</w:t>
            </w:r>
          </w:p>
        </w:tc>
      </w:tr>
      <w:tr w:rsidR="002A1EDD" w:rsidRPr="002A1EDD" w14:paraId="50AAE069" w14:textId="77777777" w:rsidTr="003C150F">
        <w:trPr>
          <w:trHeight w:val="264"/>
          <w:jc w:val="center"/>
        </w:trPr>
        <w:tc>
          <w:tcPr>
            <w:tcW w:w="3877" w:type="dxa"/>
            <w:shd w:val="clear" w:color="auto" w:fill="auto"/>
            <w:vAlign w:val="center"/>
            <w:hideMark/>
          </w:tcPr>
          <w:p w14:paraId="31BA6F5E" w14:textId="77777777" w:rsidR="008C073D" w:rsidRPr="002A1EDD" w:rsidRDefault="008C073D" w:rsidP="008C073D">
            <w:pPr>
              <w:jc w:val="right"/>
              <w:rPr>
                <w:color w:val="000000" w:themeColor="text1"/>
                <w:sz w:val="20"/>
                <w:szCs w:val="20"/>
              </w:rPr>
            </w:pPr>
            <w:r w:rsidRPr="002A1EDD">
              <w:rPr>
                <w:color w:val="000000" w:themeColor="text1"/>
                <w:sz w:val="20"/>
                <w:szCs w:val="20"/>
              </w:rPr>
              <w:t>Porez na kuće za odmor</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584F2AEF" w14:textId="77777777" w:rsidR="008C073D" w:rsidRPr="002A1EDD" w:rsidRDefault="008C073D" w:rsidP="008C073D">
            <w:pPr>
              <w:jc w:val="right"/>
              <w:rPr>
                <w:color w:val="000000" w:themeColor="text1"/>
                <w:sz w:val="20"/>
                <w:szCs w:val="20"/>
              </w:rPr>
            </w:pPr>
            <w:r w:rsidRPr="002A1EDD">
              <w:rPr>
                <w:color w:val="000000" w:themeColor="text1"/>
                <w:sz w:val="18"/>
                <w:szCs w:val="18"/>
              </w:rPr>
              <w:t>60.000</w:t>
            </w:r>
          </w:p>
        </w:tc>
        <w:tc>
          <w:tcPr>
            <w:tcW w:w="1306" w:type="dxa"/>
            <w:tcBorders>
              <w:top w:val="nil"/>
              <w:left w:val="nil"/>
              <w:bottom w:val="single" w:sz="4" w:space="0" w:color="auto"/>
              <w:right w:val="single" w:sz="4" w:space="0" w:color="auto"/>
            </w:tcBorders>
            <w:shd w:val="clear" w:color="auto" w:fill="auto"/>
            <w:vAlign w:val="center"/>
            <w:hideMark/>
          </w:tcPr>
          <w:p w14:paraId="702EFF18" w14:textId="77777777" w:rsidR="008C073D" w:rsidRPr="002A1EDD" w:rsidRDefault="008C073D" w:rsidP="008C073D">
            <w:pPr>
              <w:jc w:val="right"/>
              <w:rPr>
                <w:color w:val="000000" w:themeColor="text1"/>
                <w:sz w:val="20"/>
                <w:szCs w:val="20"/>
              </w:rPr>
            </w:pPr>
            <w:r w:rsidRPr="002A1EDD">
              <w:rPr>
                <w:color w:val="000000" w:themeColor="text1"/>
                <w:sz w:val="18"/>
                <w:szCs w:val="18"/>
              </w:rPr>
              <w:t>80.000</w:t>
            </w:r>
          </w:p>
        </w:tc>
        <w:tc>
          <w:tcPr>
            <w:tcW w:w="1215" w:type="dxa"/>
            <w:tcBorders>
              <w:top w:val="nil"/>
              <w:left w:val="nil"/>
              <w:bottom w:val="single" w:sz="4" w:space="0" w:color="auto"/>
              <w:right w:val="single" w:sz="4" w:space="0" w:color="auto"/>
            </w:tcBorders>
            <w:shd w:val="clear" w:color="auto" w:fill="auto"/>
            <w:vAlign w:val="center"/>
            <w:hideMark/>
          </w:tcPr>
          <w:p w14:paraId="55FD279D" w14:textId="77777777" w:rsidR="008C073D" w:rsidRPr="002A1EDD" w:rsidRDefault="008C073D" w:rsidP="000A01E4">
            <w:pPr>
              <w:jc w:val="center"/>
              <w:rPr>
                <w:color w:val="000000" w:themeColor="text1"/>
                <w:sz w:val="20"/>
                <w:szCs w:val="20"/>
              </w:rPr>
            </w:pPr>
            <w:r w:rsidRPr="002A1EDD">
              <w:rPr>
                <w:color w:val="000000" w:themeColor="text1"/>
                <w:sz w:val="18"/>
                <w:szCs w:val="18"/>
              </w:rPr>
              <w:t>133,33</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6BE5A173" w14:textId="77777777" w:rsidR="008C073D" w:rsidRPr="002A1EDD" w:rsidRDefault="008C073D" w:rsidP="008C073D">
            <w:pPr>
              <w:jc w:val="right"/>
              <w:rPr>
                <w:color w:val="000000" w:themeColor="text1"/>
                <w:sz w:val="20"/>
                <w:szCs w:val="20"/>
              </w:rPr>
            </w:pPr>
            <w:r w:rsidRPr="002A1EDD">
              <w:rPr>
                <w:color w:val="000000" w:themeColor="text1"/>
                <w:sz w:val="18"/>
                <w:szCs w:val="18"/>
              </w:rPr>
              <w:t>100.000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636FBCCD" w14:textId="77777777" w:rsidR="008C073D" w:rsidRPr="002A1EDD" w:rsidRDefault="008C073D" w:rsidP="008C073D">
            <w:pPr>
              <w:jc w:val="right"/>
              <w:rPr>
                <w:color w:val="000000" w:themeColor="text1"/>
                <w:sz w:val="20"/>
                <w:szCs w:val="20"/>
              </w:rPr>
            </w:pPr>
            <w:r w:rsidRPr="002A1EDD">
              <w:rPr>
                <w:color w:val="000000" w:themeColor="text1"/>
                <w:sz w:val="18"/>
                <w:szCs w:val="18"/>
              </w:rPr>
              <w:t>100.000</w:t>
            </w:r>
          </w:p>
        </w:tc>
      </w:tr>
      <w:tr w:rsidR="002A1EDD" w:rsidRPr="002A1EDD" w14:paraId="604603D0" w14:textId="77777777" w:rsidTr="003C150F">
        <w:trPr>
          <w:trHeight w:val="264"/>
          <w:jc w:val="center"/>
        </w:trPr>
        <w:tc>
          <w:tcPr>
            <w:tcW w:w="3877" w:type="dxa"/>
            <w:shd w:val="clear" w:color="auto" w:fill="auto"/>
            <w:vAlign w:val="center"/>
          </w:tcPr>
          <w:p w14:paraId="466FF11D" w14:textId="77777777" w:rsidR="008C073D" w:rsidRPr="002A1EDD" w:rsidRDefault="008C073D" w:rsidP="008C073D">
            <w:pPr>
              <w:jc w:val="right"/>
              <w:rPr>
                <w:color w:val="000000" w:themeColor="text1"/>
                <w:sz w:val="20"/>
                <w:szCs w:val="20"/>
              </w:rPr>
            </w:pPr>
            <w:r w:rsidRPr="002A1EDD">
              <w:rPr>
                <w:color w:val="000000" w:themeColor="text1"/>
                <w:sz w:val="20"/>
                <w:szCs w:val="20"/>
              </w:rPr>
              <w:t>Porez na tvrtku</w:t>
            </w:r>
          </w:p>
        </w:tc>
        <w:tc>
          <w:tcPr>
            <w:tcW w:w="1306" w:type="dxa"/>
            <w:tcBorders>
              <w:top w:val="nil"/>
              <w:left w:val="single" w:sz="4" w:space="0" w:color="auto"/>
              <w:bottom w:val="single" w:sz="4" w:space="0" w:color="auto"/>
              <w:right w:val="single" w:sz="4" w:space="0" w:color="auto"/>
            </w:tcBorders>
            <w:shd w:val="clear" w:color="auto" w:fill="auto"/>
            <w:vAlign w:val="center"/>
          </w:tcPr>
          <w:p w14:paraId="4F81BEA0" w14:textId="77777777" w:rsidR="008C073D" w:rsidRPr="002A1EDD" w:rsidRDefault="008C073D" w:rsidP="008C073D">
            <w:pPr>
              <w:jc w:val="right"/>
              <w:rPr>
                <w:color w:val="000000" w:themeColor="text1"/>
                <w:sz w:val="18"/>
                <w:szCs w:val="18"/>
              </w:rPr>
            </w:pPr>
            <w:r w:rsidRPr="002A1EDD">
              <w:rPr>
                <w:color w:val="000000" w:themeColor="text1"/>
                <w:sz w:val="18"/>
                <w:szCs w:val="18"/>
              </w:rPr>
              <w:t>1.800</w:t>
            </w:r>
          </w:p>
        </w:tc>
        <w:tc>
          <w:tcPr>
            <w:tcW w:w="1306" w:type="dxa"/>
            <w:tcBorders>
              <w:top w:val="nil"/>
              <w:left w:val="nil"/>
              <w:bottom w:val="single" w:sz="4" w:space="0" w:color="auto"/>
              <w:right w:val="single" w:sz="4" w:space="0" w:color="auto"/>
            </w:tcBorders>
            <w:shd w:val="clear" w:color="auto" w:fill="auto"/>
            <w:vAlign w:val="center"/>
          </w:tcPr>
          <w:p w14:paraId="3F7AD8D7" w14:textId="77777777" w:rsidR="008C073D" w:rsidRPr="002A1EDD" w:rsidRDefault="008C073D" w:rsidP="008C073D">
            <w:pPr>
              <w:jc w:val="right"/>
              <w:rPr>
                <w:color w:val="000000" w:themeColor="text1"/>
                <w:sz w:val="18"/>
                <w:szCs w:val="18"/>
              </w:rPr>
            </w:pPr>
            <w:r w:rsidRPr="002A1EDD">
              <w:rPr>
                <w:color w:val="000000" w:themeColor="text1"/>
                <w:sz w:val="18"/>
                <w:szCs w:val="18"/>
              </w:rPr>
              <w:t>0</w:t>
            </w:r>
          </w:p>
        </w:tc>
        <w:tc>
          <w:tcPr>
            <w:tcW w:w="1215" w:type="dxa"/>
            <w:tcBorders>
              <w:top w:val="nil"/>
              <w:left w:val="nil"/>
              <w:bottom w:val="single" w:sz="4" w:space="0" w:color="auto"/>
              <w:right w:val="single" w:sz="4" w:space="0" w:color="auto"/>
            </w:tcBorders>
            <w:shd w:val="clear" w:color="auto" w:fill="auto"/>
            <w:vAlign w:val="center"/>
          </w:tcPr>
          <w:p w14:paraId="66DD8C57" w14:textId="77777777" w:rsidR="008C073D" w:rsidRPr="002A1EDD" w:rsidRDefault="008C073D" w:rsidP="000A01E4">
            <w:pPr>
              <w:jc w:val="center"/>
              <w:rPr>
                <w:color w:val="000000" w:themeColor="text1"/>
                <w:sz w:val="20"/>
                <w:szCs w:val="20"/>
              </w:rPr>
            </w:pPr>
            <w:r w:rsidRPr="002A1EDD">
              <w:rPr>
                <w:color w:val="000000" w:themeColor="text1"/>
                <w:sz w:val="18"/>
                <w:szCs w:val="18"/>
              </w:rPr>
              <w:t>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5C5DD672" w14:textId="77777777" w:rsidR="008C073D" w:rsidRPr="002A1EDD" w:rsidRDefault="008C073D" w:rsidP="008C073D">
            <w:pPr>
              <w:jc w:val="right"/>
              <w:rPr>
                <w:color w:val="000000" w:themeColor="text1"/>
                <w:sz w:val="20"/>
                <w:szCs w:val="20"/>
              </w:rPr>
            </w:pPr>
            <w:r w:rsidRPr="002A1EDD">
              <w:rPr>
                <w:color w:val="000000" w:themeColor="text1"/>
                <w:sz w:val="18"/>
                <w:szCs w:val="18"/>
              </w:rPr>
              <w:t>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16F8C263" w14:textId="77777777" w:rsidR="008C073D" w:rsidRPr="002A1EDD" w:rsidRDefault="008C073D" w:rsidP="008C073D">
            <w:pPr>
              <w:jc w:val="right"/>
              <w:rPr>
                <w:color w:val="000000" w:themeColor="text1"/>
                <w:sz w:val="20"/>
                <w:szCs w:val="20"/>
              </w:rPr>
            </w:pPr>
            <w:r w:rsidRPr="002A1EDD">
              <w:rPr>
                <w:color w:val="000000" w:themeColor="text1"/>
                <w:sz w:val="18"/>
                <w:szCs w:val="18"/>
              </w:rPr>
              <w:t>0</w:t>
            </w:r>
          </w:p>
        </w:tc>
      </w:tr>
      <w:tr w:rsidR="002A1EDD" w:rsidRPr="002A1EDD" w14:paraId="30CE6408" w14:textId="77777777" w:rsidTr="003C150F">
        <w:trPr>
          <w:trHeight w:val="264"/>
          <w:jc w:val="center"/>
        </w:trPr>
        <w:tc>
          <w:tcPr>
            <w:tcW w:w="3877" w:type="dxa"/>
            <w:shd w:val="clear" w:color="auto" w:fill="auto"/>
            <w:vAlign w:val="center"/>
            <w:hideMark/>
          </w:tcPr>
          <w:p w14:paraId="790D3713" w14:textId="77777777" w:rsidR="008C073D" w:rsidRPr="002A1EDD" w:rsidRDefault="008C073D" w:rsidP="008C073D">
            <w:pPr>
              <w:jc w:val="right"/>
              <w:rPr>
                <w:color w:val="000000" w:themeColor="text1"/>
                <w:sz w:val="20"/>
                <w:szCs w:val="20"/>
              </w:rPr>
            </w:pPr>
            <w:r w:rsidRPr="002A1EDD">
              <w:rPr>
                <w:color w:val="000000" w:themeColor="text1"/>
                <w:sz w:val="20"/>
                <w:szCs w:val="20"/>
              </w:rPr>
              <w:t>Porez na korištenje javne površine</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0B06BF0E" w14:textId="77777777" w:rsidR="008C073D" w:rsidRPr="002A1EDD" w:rsidRDefault="008C073D" w:rsidP="008C073D">
            <w:pPr>
              <w:jc w:val="right"/>
              <w:rPr>
                <w:color w:val="000000" w:themeColor="text1"/>
                <w:sz w:val="20"/>
                <w:szCs w:val="20"/>
              </w:rPr>
            </w:pPr>
            <w:r w:rsidRPr="002A1EDD">
              <w:rPr>
                <w:color w:val="000000" w:themeColor="text1"/>
                <w:sz w:val="18"/>
                <w:szCs w:val="18"/>
              </w:rPr>
              <w:t>50.000</w:t>
            </w:r>
          </w:p>
        </w:tc>
        <w:tc>
          <w:tcPr>
            <w:tcW w:w="1306" w:type="dxa"/>
            <w:tcBorders>
              <w:top w:val="nil"/>
              <w:left w:val="nil"/>
              <w:bottom w:val="single" w:sz="4" w:space="0" w:color="auto"/>
              <w:right w:val="single" w:sz="4" w:space="0" w:color="auto"/>
            </w:tcBorders>
            <w:shd w:val="clear" w:color="auto" w:fill="auto"/>
            <w:vAlign w:val="center"/>
            <w:hideMark/>
          </w:tcPr>
          <w:p w14:paraId="1CDC25F9" w14:textId="77777777" w:rsidR="008C073D" w:rsidRPr="002A1EDD" w:rsidRDefault="008C073D" w:rsidP="008C073D">
            <w:pPr>
              <w:jc w:val="right"/>
              <w:rPr>
                <w:color w:val="000000" w:themeColor="text1"/>
                <w:sz w:val="20"/>
                <w:szCs w:val="20"/>
              </w:rPr>
            </w:pPr>
            <w:r w:rsidRPr="002A1EDD">
              <w:rPr>
                <w:color w:val="000000" w:themeColor="text1"/>
                <w:sz w:val="18"/>
                <w:szCs w:val="18"/>
              </w:rPr>
              <w:t>100.000</w:t>
            </w:r>
          </w:p>
        </w:tc>
        <w:tc>
          <w:tcPr>
            <w:tcW w:w="1215" w:type="dxa"/>
            <w:tcBorders>
              <w:top w:val="nil"/>
              <w:left w:val="nil"/>
              <w:bottom w:val="single" w:sz="4" w:space="0" w:color="auto"/>
              <w:right w:val="single" w:sz="4" w:space="0" w:color="auto"/>
            </w:tcBorders>
            <w:shd w:val="clear" w:color="auto" w:fill="auto"/>
            <w:vAlign w:val="center"/>
            <w:hideMark/>
          </w:tcPr>
          <w:p w14:paraId="44A9898A" w14:textId="77777777" w:rsidR="008C073D" w:rsidRPr="002A1EDD" w:rsidRDefault="008C073D" w:rsidP="000A01E4">
            <w:pPr>
              <w:jc w:val="center"/>
              <w:rPr>
                <w:color w:val="000000" w:themeColor="text1"/>
                <w:sz w:val="20"/>
                <w:szCs w:val="20"/>
              </w:rPr>
            </w:pPr>
            <w:r w:rsidRPr="002A1EDD">
              <w:rPr>
                <w:color w:val="000000" w:themeColor="text1"/>
                <w:sz w:val="18"/>
                <w:szCs w:val="18"/>
              </w:rPr>
              <w:t>200,00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370E42EF" w14:textId="77777777" w:rsidR="008C073D" w:rsidRPr="002A1EDD" w:rsidRDefault="008C073D" w:rsidP="008C073D">
            <w:pPr>
              <w:jc w:val="right"/>
              <w:rPr>
                <w:color w:val="000000" w:themeColor="text1"/>
                <w:sz w:val="20"/>
                <w:szCs w:val="20"/>
              </w:rPr>
            </w:pPr>
            <w:r w:rsidRPr="002A1EDD">
              <w:rPr>
                <w:color w:val="000000" w:themeColor="text1"/>
                <w:sz w:val="18"/>
                <w:szCs w:val="18"/>
              </w:rPr>
              <w:t>150.000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392A8F76" w14:textId="77777777" w:rsidR="008C073D" w:rsidRPr="002A1EDD" w:rsidRDefault="008C073D" w:rsidP="008C073D">
            <w:pPr>
              <w:jc w:val="right"/>
              <w:rPr>
                <w:color w:val="000000" w:themeColor="text1"/>
                <w:sz w:val="20"/>
                <w:szCs w:val="20"/>
              </w:rPr>
            </w:pPr>
            <w:r w:rsidRPr="002A1EDD">
              <w:rPr>
                <w:color w:val="000000" w:themeColor="text1"/>
                <w:sz w:val="18"/>
                <w:szCs w:val="18"/>
              </w:rPr>
              <w:t>150.000</w:t>
            </w:r>
          </w:p>
        </w:tc>
      </w:tr>
      <w:tr w:rsidR="002A1EDD" w:rsidRPr="002A1EDD" w14:paraId="49D491EC" w14:textId="77777777" w:rsidTr="00335946">
        <w:trPr>
          <w:trHeight w:val="264"/>
          <w:jc w:val="center"/>
        </w:trPr>
        <w:tc>
          <w:tcPr>
            <w:tcW w:w="3877" w:type="dxa"/>
            <w:shd w:val="clear" w:color="auto" w:fill="auto"/>
            <w:vAlign w:val="center"/>
            <w:hideMark/>
          </w:tcPr>
          <w:p w14:paraId="78E0494A" w14:textId="77777777" w:rsidR="007A0064" w:rsidRPr="002A1EDD" w:rsidRDefault="007A0064" w:rsidP="00AE4422">
            <w:pPr>
              <w:jc w:val="center"/>
              <w:rPr>
                <w:b/>
                <w:bCs/>
                <w:color w:val="000000" w:themeColor="text1"/>
                <w:sz w:val="22"/>
                <w:szCs w:val="22"/>
              </w:rPr>
            </w:pPr>
            <w:r w:rsidRPr="002A1EDD">
              <w:rPr>
                <w:b/>
                <w:bCs/>
                <w:color w:val="000000" w:themeColor="text1"/>
                <w:sz w:val="22"/>
                <w:szCs w:val="22"/>
              </w:rPr>
              <w:t>1</w:t>
            </w:r>
            <w:r w:rsidR="00AE4422" w:rsidRPr="002A1EDD">
              <w:rPr>
                <w:b/>
                <w:bCs/>
                <w:color w:val="000000" w:themeColor="text1"/>
                <w:sz w:val="22"/>
                <w:szCs w:val="22"/>
              </w:rPr>
              <w:t>.B</w:t>
            </w:r>
            <w:r w:rsidRPr="002A1EDD">
              <w:rPr>
                <w:b/>
                <w:bCs/>
                <w:color w:val="000000" w:themeColor="text1"/>
                <w:sz w:val="22"/>
                <w:szCs w:val="22"/>
              </w:rPr>
              <w:t>. PRIHODI OD POMOĆI (63)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89989" w14:textId="77777777" w:rsidR="007A0064" w:rsidRPr="002A1EDD" w:rsidRDefault="007A0064" w:rsidP="007A0064">
            <w:pPr>
              <w:jc w:val="right"/>
              <w:rPr>
                <w:b/>
                <w:bCs/>
                <w:color w:val="000000" w:themeColor="text1"/>
                <w:sz w:val="22"/>
                <w:szCs w:val="22"/>
              </w:rPr>
            </w:pPr>
            <w:r w:rsidRPr="002A1EDD">
              <w:rPr>
                <w:b/>
                <w:bCs/>
                <w:color w:val="000000" w:themeColor="text1"/>
                <w:sz w:val="22"/>
                <w:szCs w:val="22"/>
              </w:rPr>
              <w:t>32.023.914</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7AD70E22" w14:textId="77777777" w:rsidR="007A0064" w:rsidRPr="002A1EDD" w:rsidRDefault="007A0064" w:rsidP="007A0064">
            <w:pPr>
              <w:jc w:val="right"/>
              <w:rPr>
                <w:b/>
                <w:bCs/>
                <w:color w:val="000000" w:themeColor="text1"/>
                <w:sz w:val="22"/>
                <w:szCs w:val="22"/>
              </w:rPr>
            </w:pPr>
            <w:r w:rsidRPr="002A1EDD">
              <w:rPr>
                <w:b/>
                <w:bCs/>
                <w:color w:val="000000" w:themeColor="text1"/>
                <w:sz w:val="22"/>
                <w:szCs w:val="22"/>
              </w:rPr>
              <w:t>20.917.150</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74627BD" w14:textId="77777777" w:rsidR="007A0064" w:rsidRPr="002A1EDD" w:rsidRDefault="007A0064" w:rsidP="000A01E4">
            <w:pPr>
              <w:jc w:val="center"/>
              <w:rPr>
                <w:b/>
                <w:bCs/>
                <w:color w:val="000000" w:themeColor="text1"/>
                <w:sz w:val="22"/>
                <w:szCs w:val="22"/>
              </w:rPr>
            </w:pPr>
            <w:r w:rsidRPr="002A1EDD">
              <w:rPr>
                <w:b/>
                <w:bCs/>
                <w:color w:val="000000" w:themeColor="text1"/>
                <w:sz w:val="22"/>
                <w:szCs w:val="22"/>
              </w:rPr>
              <w:t>65,32</w:t>
            </w:r>
          </w:p>
        </w:tc>
        <w:tc>
          <w:tcPr>
            <w:tcW w:w="1306" w:type="dxa"/>
            <w:tcBorders>
              <w:top w:val="single" w:sz="4" w:space="0" w:color="auto"/>
              <w:left w:val="nil"/>
              <w:bottom w:val="single" w:sz="4" w:space="0" w:color="auto"/>
              <w:right w:val="single" w:sz="4" w:space="0" w:color="auto"/>
            </w:tcBorders>
            <w:shd w:val="clear" w:color="auto" w:fill="auto"/>
            <w:vAlign w:val="center"/>
          </w:tcPr>
          <w:p w14:paraId="496F3B07" w14:textId="77777777" w:rsidR="007A0064" w:rsidRPr="002A1EDD" w:rsidRDefault="007A0064" w:rsidP="007A0064">
            <w:pPr>
              <w:jc w:val="right"/>
              <w:rPr>
                <w:b/>
                <w:bCs/>
                <w:color w:val="000000" w:themeColor="text1"/>
                <w:sz w:val="22"/>
                <w:szCs w:val="22"/>
              </w:rPr>
            </w:pPr>
            <w:r w:rsidRPr="002A1EDD">
              <w:rPr>
                <w:b/>
                <w:bCs/>
                <w:color w:val="000000" w:themeColor="text1"/>
                <w:sz w:val="22"/>
                <w:szCs w:val="22"/>
              </w:rPr>
              <w:t>10.816.175</w:t>
            </w:r>
          </w:p>
        </w:tc>
        <w:tc>
          <w:tcPr>
            <w:tcW w:w="1306" w:type="dxa"/>
            <w:tcBorders>
              <w:top w:val="single" w:sz="4" w:space="0" w:color="auto"/>
              <w:left w:val="nil"/>
              <w:bottom w:val="single" w:sz="4" w:space="0" w:color="auto"/>
              <w:right w:val="single" w:sz="4" w:space="0" w:color="auto"/>
            </w:tcBorders>
            <w:shd w:val="clear" w:color="auto" w:fill="auto"/>
            <w:vAlign w:val="center"/>
          </w:tcPr>
          <w:p w14:paraId="4B384C51" w14:textId="77777777" w:rsidR="007A0064" w:rsidRPr="002A1EDD" w:rsidRDefault="007A0064" w:rsidP="007A0064">
            <w:pPr>
              <w:jc w:val="right"/>
              <w:rPr>
                <w:b/>
                <w:bCs/>
                <w:color w:val="000000" w:themeColor="text1"/>
                <w:sz w:val="22"/>
                <w:szCs w:val="22"/>
              </w:rPr>
            </w:pPr>
            <w:r w:rsidRPr="002A1EDD">
              <w:rPr>
                <w:b/>
                <w:bCs/>
                <w:color w:val="000000" w:themeColor="text1"/>
                <w:sz w:val="22"/>
                <w:szCs w:val="22"/>
              </w:rPr>
              <w:t>9.757.000</w:t>
            </w:r>
          </w:p>
        </w:tc>
      </w:tr>
      <w:tr w:rsidR="002A1EDD" w:rsidRPr="002A1EDD" w14:paraId="544D60E3" w14:textId="77777777" w:rsidTr="00B47FC9">
        <w:trPr>
          <w:trHeight w:val="264"/>
          <w:jc w:val="center"/>
        </w:trPr>
        <w:tc>
          <w:tcPr>
            <w:tcW w:w="3877" w:type="dxa"/>
            <w:shd w:val="clear" w:color="auto" w:fill="auto"/>
            <w:vAlign w:val="center"/>
            <w:hideMark/>
          </w:tcPr>
          <w:p w14:paraId="7AEEE40C" w14:textId="77777777" w:rsidR="007A0064" w:rsidRPr="002A1EDD" w:rsidRDefault="007A0064" w:rsidP="007A0064">
            <w:pPr>
              <w:jc w:val="center"/>
              <w:rPr>
                <w:b/>
                <w:bCs/>
                <w:color w:val="000000" w:themeColor="text1"/>
                <w:sz w:val="20"/>
                <w:szCs w:val="20"/>
              </w:rPr>
            </w:pPr>
            <w:r w:rsidRPr="002A1EDD">
              <w:rPr>
                <w:b/>
                <w:bCs/>
                <w:color w:val="000000" w:themeColor="text1"/>
                <w:sz w:val="20"/>
                <w:szCs w:val="20"/>
              </w:rPr>
              <w:t>2.1.tekuće pomoći</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39AF8DFB" w14:textId="77777777" w:rsidR="007A0064" w:rsidRPr="002A1EDD" w:rsidRDefault="007A0064" w:rsidP="007A0064">
            <w:pPr>
              <w:jc w:val="right"/>
              <w:rPr>
                <w:b/>
                <w:bCs/>
                <w:color w:val="000000" w:themeColor="text1"/>
                <w:sz w:val="20"/>
                <w:szCs w:val="20"/>
              </w:rPr>
            </w:pPr>
            <w:r w:rsidRPr="002A1EDD">
              <w:rPr>
                <w:b/>
                <w:bCs/>
                <w:color w:val="000000" w:themeColor="text1"/>
                <w:sz w:val="20"/>
                <w:szCs w:val="20"/>
              </w:rPr>
              <w:t>4.619.352</w:t>
            </w:r>
          </w:p>
        </w:tc>
        <w:tc>
          <w:tcPr>
            <w:tcW w:w="1306" w:type="dxa"/>
            <w:tcBorders>
              <w:top w:val="nil"/>
              <w:left w:val="nil"/>
              <w:bottom w:val="single" w:sz="4" w:space="0" w:color="auto"/>
              <w:right w:val="single" w:sz="4" w:space="0" w:color="auto"/>
            </w:tcBorders>
            <w:shd w:val="clear" w:color="auto" w:fill="auto"/>
            <w:vAlign w:val="center"/>
            <w:hideMark/>
          </w:tcPr>
          <w:p w14:paraId="1EE6A622" w14:textId="77777777" w:rsidR="007A0064" w:rsidRPr="002A1EDD" w:rsidRDefault="007A0064" w:rsidP="007A0064">
            <w:pPr>
              <w:jc w:val="right"/>
              <w:rPr>
                <w:b/>
                <w:bCs/>
                <w:color w:val="000000" w:themeColor="text1"/>
                <w:sz w:val="20"/>
                <w:szCs w:val="20"/>
              </w:rPr>
            </w:pPr>
            <w:r w:rsidRPr="002A1EDD">
              <w:rPr>
                <w:b/>
                <w:bCs/>
                <w:color w:val="000000" w:themeColor="text1"/>
                <w:sz w:val="20"/>
                <w:szCs w:val="20"/>
              </w:rPr>
              <w:t>3.071.650</w:t>
            </w:r>
          </w:p>
        </w:tc>
        <w:tc>
          <w:tcPr>
            <w:tcW w:w="1215" w:type="dxa"/>
            <w:tcBorders>
              <w:top w:val="nil"/>
              <w:left w:val="nil"/>
              <w:bottom w:val="single" w:sz="4" w:space="0" w:color="auto"/>
              <w:right w:val="single" w:sz="4" w:space="0" w:color="auto"/>
            </w:tcBorders>
            <w:shd w:val="clear" w:color="auto" w:fill="auto"/>
            <w:vAlign w:val="center"/>
            <w:hideMark/>
          </w:tcPr>
          <w:p w14:paraId="118038ED" w14:textId="77777777" w:rsidR="007A0064" w:rsidRPr="002A1EDD" w:rsidRDefault="007A0064" w:rsidP="000A01E4">
            <w:pPr>
              <w:jc w:val="center"/>
              <w:rPr>
                <w:color w:val="000000" w:themeColor="text1"/>
                <w:sz w:val="20"/>
                <w:szCs w:val="20"/>
              </w:rPr>
            </w:pPr>
            <w:r w:rsidRPr="002A1EDD">
              <w:rPr>
                <w:b/>
                <w:bCs/>
                <w:color w:val="000000" w:themeColor="text1"/>
                <w:sz w:val="20"/>
                <w:szCs w:val="20"/>
              </w:rPr>
              <w:t>66,50</w:t>
            </w:r>
          </w:p>
        </w:tc>
        <w:tc>
          <w:tcPr>
            <w:tcW w:w="1306" w:type="dxa"/>
            <w:tcBorders>
              <w:top w:val="nil"/>
              <w:left w:val="nil"/>
              <w:bottom w:val="single" w:sz="4" w:space="0" w:color="auto"/>
              <w:right w:val="single" w:sz="4" w:space="0" w:color="auto"/>
            </w:tcBorders>
            <w:shd w:val="clear" w:color="auto" w:fill="auto"/>
            <w:vAlign w:val="center"/>
          </w:tcPr>
          <w:p w14:paraId="7F149604" w14:textId="77777777" w:rsidR="007A0064" w:rsidRPr="002A1EDD" w:rsidRDefault="007A0064" w:rsidP="007A0064">
            <w:pPr>
              <w:jc w:val="right"/>
              <w:rPr>
                <w:b/>
                <w:bCs/>
                <w:color w:val="000000" w:themeColor="text1"/>
                <w:sz w:val="20"/>
                <w:szCs w:val="20"/>
              </w:rPr>
            </w:pPr>
            <w:r w:rsidRPr="002A1EDD">
              <w:rPr>
                <w:b/>
                <w:bCs/>
                <w:color w:val="000000" w:themeColor="text1"/>
                <w:sz w:val="20"/>
                <w:szCs w:val="20"/>
              </w:rPr>
              <w:t>1.844.175</w:t>
            </w:r>
          </w:p>
        </w:tc>
        <w:tc>
          <w:tcPr>
            <w:tcW w:w="1306" w:type="dxa"/>
            <w:tcBorders>
              <w:top w:val="nil"/>
              <w:left w:val="nil"/>
              <w:bottom w:val="single" w:sz="4" w:space="0" w:color="auto"/>
              <w:right w:val="single" w:sz="4" w:space="0" w:color="auto"/>
            </w:tcBorders>
            <w:shd w:val="clear" w:color="auto" w:fill="auto"/>
            <w:vAlign w:val="center"/>
          </w:tcPr>
          <w:p w14:paraId="53CC00F4" w14:textId="77777777" w:rsidR="007A0064" w:rsidRPr="002A1EDD" w:rsidRDefault="007A0064" w:rsidP="007A0064">
            <w:pPr>
              <w:jc w:val="right"/>
              <w:rPr>
                <w:b/>
                <w:bCs/>
                <w:color w:val="000000" w:themeColor="text1"/>
                <w:sz w:val="20"/>
                <w:szCs w:val="20"/>
              </w:rPr>
            </w:pPr>
            <w:r w:rsidRPr="002A1EDD">
              <w:rPr>
                <w:b/>
                <w:bCs/>
                <w:color w:val="000000" w:themeColor="text1"/>
                <w:sz w:val="20"/>
                <w:szCs w:val="20"/>
              </w:rPr>
              <w:t>1.325.000</w:t>
            </w:r>
          </w:p>
        </w:tc>
      </w:tr>
      <w:tr w:rsidR="002A1EDD" w:rsidRPr="002A1EDD" w14:paraId="10CF6857" w14:textId="77777777" w:rsidTr="003C150F">
        <w:trPr>
          <w:trHeight w:val="264"/>
          <w:jc w:val="center"/>
        </w:trPr>
        <w:tc>
          <w:tcPr>
            <w:tcW w:w="3877" w:type="dxa"/>
            <w:shd w:val="clear" w:color="auto" w:fill="auto"/>
            <w:hideMark/>
          </w:tcPr>
          <w:p w14:paraId="378AD2E9" w14:textId="77777777" w:rsidR="007A0064" w:rsidRPr="002A1EDD" w:rsidRDefault="00D94F4C" w:rsidP="007A0064">
            <w:pPr>
              <w:jc w:val="right"/>
              <w:rPr>
                <w:color w:val="000000" w:themeColor="text1"/>
                <w:sz w:val="20"/>
                <w:szCs w:val="20"/>
              </w:rPr>
            </w:pPr>
            <w:r w:rsidRPr="002A1EDD">
              <w:rPr>
                <w:color w:val="000000" w:themeColor="text1"/>
                <w:sz w:val="20"/>
                <w:szCs w:val="20"/>
              </w:rPr>
              <w:t>T</w:t>
            </w:r>
            <w:r w:rsidR="007A0064" w:rsidRPr="002A1EDD">
              <w:rPr>
                <w:color w:val="000000" w:themeColor="text1"/>
                <w:sz w:val="20"/>
                <w:szCs w:val="20"/>
              </w:rPr>
              <w:t xml:space="preserve">ekuće pomoći DP, </w:t>
            </w:r>
            <w:proofErr w:type="spellStart"/>
            <w:r w:rsidR="007A0064" w:rsidRPr="002A1EDD">
              <w:rPr>
                <w:color w:val="000000" w:themeColor="text1"/>
                <w:sz w:val="20"/>
                <w:szCs w:val="20"/>
              </w:rPr>
              <w:t>dec.vatr</w:t>
            </w:r>
            <w:proofErr w:type="spellEnd"/>
            <w:r w:rsidR="007A0064" w:rsidRPr="002A1EDD">
              <w:rPr>
                <w:color w:val="000000" w:themeColor="text1"/>
                <w:sz w:val="20"/>
                <w:szCs w:val="20"/>
              </w:rPr>
              <w:t xml:space="preserve">., </w:t>
            </w:r>
            <w:proofErr w:type="spellStart"/>
            <w:r w:rsidR="007A0064" w:rsidRPr="002A1EDD">
              <w:rPr>
                <w:color w:val="000000" w:themeColor="text1"/>
                <w:sz w:val="20"/>
                <w:szCs w:val="20"/>
              </w:rPr>
              <w:t>izvanpror.kor</w:t>
            </w:r>
            <w:proofErr w:type="spellEnd"/>
            <w:r w:rsidR="007A0064" w:rsidRPr="002A1EDD">
              <w:rPr>
                <w:color w:val="000000" w:themeColor="text1"/>
                <w:sz w:val="20"/>
                <w:szCs w:val="20"/>
              </w:rPr>
              <w:t>., MZO DV</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63CA0471" w14:textId="77777777" w:rsidR="007A0064" w:rsidRPr="002A1EDD" w:rsidRDefault="007A0064" w:rsidP="007A0064">
            <w:pPr>
              <w:jc w:val="right"/>
              <w:rPr>
                <w:color w:val="000000" w:themeColor="text1"/>
                <w:sz w:val="20"/>
                <w:szCs w:val="20"/>
              </w:rPr>
            </w:pPr>
            <w:r w:rsidRPr="002A1EDD">
              <w:rPr>
                <w:color w:val="000000" w:themeColor="text1"/>
                <w:sz w:val="20"/>
                <w:szCs w:val="20"/>
              </w:rPr>
              <w:t>2.876.422</w:t>
            </w:r>
          </w:p>
        </w:tc>
        <w:tc>
          <w:tcPr>
            <w:tcW w:w="1306" w:type="dxa"/>
            <w:tcBorders>
              <w:top w:val="nil"/>
              <w:left w:val="nil"/>
              <w:bottom w:val="single" w:sz="4" w:space="0" w:color="auto"/>
              <w:right w:val="single" w:sz="4" w:space="0" w:color="auto"/>
            </w:tcBorders>
            <w:shd w:val="clear" w:color="auto" w:fill="auto"/>
            <w:vAlign w:val="center"/>
            <w:hideMark/>
          </w:tcPr>
          <w:p w14:paraId="58194E0C" w14:textId="77777777" w:rsidR="007A0064" w:rsidRPr="002A1EDD" w:rsidRDefault="007A0064" w:rsidP="007A0064">
            <w:pPr>
              <w:jc w:val="right"/>
              <w:rPr>
                <w:color w:val="000000" w:themeColor="text1"/>
                <w:sz w:val="20"/>
                <w:szCs w:val="20"/>
              </w:rPr>
            </w:pPr>
            <w:r w:rsidRPr="002A1EDD">
              <w:rPr>
                <w:color w:val="000000" w:themeColor="text1"/>
                <w:sz w:val="20"/>
                <w:szCs w:val="20"/>
              </w:rPr>
              <w:t>1.609.100</w:t>
            </w:r>
          </w:p>
        </w:tc>
        <w:tc>
          <w:tcPr>
            <w:tcW w:w="1215" w:type="dxa"/>
            <w:tcBorders>
              <w:top w:val="nil"/>
              <w:left w:val="nil"/>
              <w:bottom w:val="single" w:sz="4" w:space="0" w:color="auto"/>
              <w:right w:val="single" w:sz="4" w:space="0" w:color="auto"/>
            </w:tcBorders>
            <w:shd w:val="clear" w:color="auto" w:fill="auto"/>
            <w:vAlign w:val="center"/>
            <w:hideMark/>
          </w:tcPr>
          <w:p w14:paraId="5DD40AE2" w14:textId="77777777" w:rsidR="007A0064" w:rsidRPr="002A1EDD" w:rsidRDefault="007A0064" w:rsidP="000A01E4">
            <w:pPr>
              <w:jc w:val="center"/>
              <w:rPr>
                <w:color w:val="000000" w:themeColor="text1"/>
                <w:sz w:val="20"/>
                <w:szCs w:val="20"/>
              </w:rPr>
            </w:pPr>
            <w:r w:rsidRPr="002A1EDD">
              <w:rPr>
                <w:color w:val="000000" w:themeColor="text1"/>
                <w:sz w:val="20"/>
                <w:szCs w:val="20"/>
              </w:rPr>
              <w:t>55,94</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2AB268DA" w14:textId="77777777" w:rsidR="007A0064" w:rsidRPr="002A1EDD" w:rsidRDefault="007A0064" w:rsidP="007A0064">
            <w:pPr>
              <w:jc w:val="right"/>
              <w:rPr>
                <w:color w:val="000000" w:themeColor="text1"/>
                <w:sz w:val="20"/>
                <w:szCs w:val="20"/>
              </w:rPr>
            </w:pPr>
            <w:r w:rsidRPr="002A1EDD">
              <w:rPr>
                <w:color w:val="000000" w:themeColor="text1"/>
                <w:sz w:val="20"/>
                <w:szCs w:val="20"/>
              </w:rPr>
              <w:t>1.467.000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196D4A7D" w14:textId="77777777" w:rsidR="007A0064" w:rsidRPr="002A1EDD" w:rsidRDefault="007A0064" w:rsidP="007A0064">
            <w:pPr>
              <w:jc w:val="right"/>
              <w:rPr>
                <w:color w:val="000000" w:themeColor="text1"/>
                <w:sz w:val="20"/>
                <w:szCs w:val="20"/>
              </w:rPr>
            </w:pPr>
            <w:r w:rsidRPr="002A1EDD">
              <w:rPr>
                <w:color w:val="000000" w:themeColor="text1"/>
                <w:sz w:val="20"/>
                <w:szCs w:val="20"/>
              </w:rPr>
              <w:t>1.325.000</w:t>
            </w:r>
          </w:p>
        </w:tc>
      </w:tr>
      <w:tr w:rsidR="002A1EDD" w:rsidRPr="002A1EDD" w14:paraId="3160CC7B" w14:textId="77777777" w:rsidTr="003C150F">
        <w:trPr>
          <w:trHeight w:val="264"/>
          <w:jc w:val="center"/>
        </w:trPr>
        <w:tc>
          <w:tcPr>
            <w:tcW w:w="3877" w:type="dxa"/>
            <w:shd w:val="clear" w:color="auto" w:fill="auto"/>
          </w:tcPr>
          <w:p w14:paraId="7FE29DA7" w14:textId="77777777" w:rsidR="007A0064" w:rsidRPr="002A1EDD" w:rsidRDefault="002148F4" w:rsidP="007A0064">
            <w:pPr>
              <w:jc w:val="right"/>
              <w:rPr>
                <w:color w:val="000000" w:themeColor="text1"/>
                <w:sz w:val="20"/>
                <w:szCs w:val="20"/>
              </w:rPr>
            </w:pPr>
            <w:r w:rsidRPr="002A1EDD">
              <w:rPr>
                <w:color w:val="000000" w:themeColor="text1"/>
                <w:sz w:val="20"/>
                <w:szCs w:val="20"/>
              </w:rPr>
              <w:t xml:space="preserve">Tekuće pomoći - </w:t>
            </w:r>
            <w:r w:rsidR="007A0064" w:rsidRPr="002A1EDD">
              <w:rPr>
                <w:color w:val="000000" w:themeColor="text1"/>
                <w:sz w:val="20"/>
                <w:szCs w:val="20"/>
              </w:rPr>
              <w:t>EPK</w:t>
            </w:r>
          </w:p>
        </w:tc>
        <w:tc>
          <w:tcPr>
            <w:tcW w:w="1306" w:type="dxa"/>
            <w:tcBorders>
              <w:top w:val="nil"/>
              <w:left w:val="single" w:sz="4" w:space="0" w:color="auto"/>
              <w:bottom w:val="single" w:sz="4" w:space="0" w:color="auto"/>
              <w:right w:val="single" w:sz="4" w:space="0" w:color="auto"/>
            </w:tcBorders>
            <w:shd w:val="clear" w:color="auto" w:fill="auto"/>
            <w:vAlign w:val="center"/>
          </w:tcPr>
          <w:p w14:paraId="33C71DE2" w14:textId="77777777" w:rsidR="007A0064" w:rsidRPr="002A1EDD" w:rsidRDefault="007A0064" w:rsidP="007A0064">
            <w:pPr>
              <w:jc w:val="right"/>
              <w:rPr>
                <w:color w:val="000000" w:themeColor="text1"/>
                <w:sz w:val="20"/>
                <w:szCs w:val="20"/>
              </w:rPr>
            </w:pPr>
            <w:r w:rsidRPr="002A1EDD">
              <w:rPr>
                <w:color w:val="000000" w:themeColor="text1"/>
                <w:sz w:val="20"/>
                <w:szCs w:val="20"/>
              </w:rPr>
              <w:t>110.100</w:t>
            </w:r>
          </w:p>
        </w:tc>
        <w:tc>
          <w:tcPr>
            <w:tcW w:w="1306" w:type="dxa"/>
            <w:tcBorders>
              <w:top w:val="nil"/>
              <w:left w:val="nil"/>
              <w:bottom w:val="single" w:sz="4" w:space="0" w:color="auto"/>
              <w:right w:val="single" w:sz="4" w:space="0" w:color="auto"/>
            </w:tcBorders>
            <w:shd w:val="clear" w:color="auto" w:fill="auto"/>
            <w:vAlign w:val="center"/>
          </w:tcPr>
          <w:p w14:paraId="78D237A5" w14:textId="77777777" w:rsidR="007A0064" w:rsidRPr="002A1EDD" w:rsidRDefault="007A0064" w:rsidP="007A0064">
            <w:pPr>
              <w:jc w:val="right"/>
              <w:rPr>
                <w:color w:val="000000" w:themeColor="text1"/>
                <w:sz w:val="20"/>
                <w:szCs w:val="20"/>
              </w:rPr>
            </w:pPr>
            <w:r w:rsidRPr="002A1EDD">
              <w:rPr>
                <w:color w:val="000000" w:themeColor="text1"/>
                <w:sz w:val="20"/>
                <w:szCs w:val="20"/>
              </w:rPr>
              <w:t>0</w:t>
            </w:r>
          </w:p>
        </w:tc>
        <w:tc>
          <w:tcPr>
            <w:tcW w:w="1215" w:type="dxa"/>
            <w:tcBorders>
              <w:top w:val="nil"/>
              <w:left w:val="nil"/>
              <w:bottom w:val="single" w:sz="4" w:space="0" w:color="auto"/>
              <w:right w:val="single" w:sz="4" w:space="0" w:color="auto"/>
            </w:tcBorders>
            <w:shd w:val="clear" w:color="auto" w:fill="auto"/>
            <w:vAlign w:val="center"/>
          </w:tcPr>
          <w:p w14:paraId="33ADBF43" w14:textId="77777777" w:rsidR="007A0064" w:rsidRPr="002A1EDD" w:rsidRDefault="007A0064" w:rsidP="000A01E4">
            <w:pPr>
              <w:jc w:val="center"/>
              <w:rPr>
                <w:color w:val="000000" w:themeColor="text1"/>
                <w:sz w:val="20"/>
                <w:szCs w:val="20"/>
              </w:rPr>
            </w:pPr>
            <w:r w:rsidRPr="002A1EDD">
              <w:rPr>
                <w:color w:val="000000" w:themeColor="text1"/>
                <w:sz w:val="20"/>
                <w:szCs w:val="20"/>
              </w:rPr>
              <w:t>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2B8F2CCE" w14:textId="77777777" w:rsidR="007A0064" w:rsidRPr="002A1EDD" w:rsidRDefault="007A0064" w:rsidP="007A0064">
            <w:pPr>
              <w:jc w:val="right"/>
              <w:rPr>
                <w:color w:val="000000" w:themeColor="text1"/>
                <w:sz w:val="20"/>
                <w:szCs w:val="20"/>
              </w:rPr>
            </w:pPr>
          </w:p>
        </w:tc>
        <w:tc>
          <w:tcPr>
            <w:tcW w:w="1306" w:type="dxa"/>
            <w:tcBorders>
              <w:top w:val="single" w:sz="4" w:space="0" w:color="auto"/>
              <w:left w:val="nil"/>
              <w:bottom w:val="single" w:sz="4" w:space="0" w:color="auto"/>
              <w:right w:val="single" w:sz="4" w:space="0" w:color="auto"/>
            </w:tcBorders>
            <w:shd w:val="clear" w:color="auto" w:fill="D9D9D9"/>
            <w:vAlign w:val="center"/>
          </w:tcPr>
          <w:p w14:paraId="2EB6AEE8" w14:textId="77777777" w:rsidR="007A0064" w:rsidRPr="002A1EDD" w:rsidRDefault="007A0064" w:rsidP="007A0064">
            <w:pPr>
              <w:jc w:val="right"/>
              <w:rPr>
                <w:color w:val="000000" w:themeColor="text1"/>
                <w:sz w:val="20"/>
                <w:szCs w:val="20"/>
              </w:rPr>
            </w:pPr>
            <w:r w:rsidRPr="002A1EDD">
              <w:rPr>
                <w:color w:val="000000" w:themeColor="text1"/>
                <w:sz w:val="20"/>
                <w:szCs w:val="20"/>
              </w:rPr>
              <w:t> </w:t>
            </w:r>
          </w:p>
        </w:tc>
      </w:tr>
      <w:tr w:rsidR="002A1EDD" w:rsidRPr="002A1EDD" w14:paraId="54DEA8AF" w14:textId="77777777" w:rsidTr="003C150F">
        <w:trPr>
          <w:trHeight w:val="264"/>
          <w:jc w:val="center"/>
        </w:trPr>
        <w:tc>
          <w:tcPr>
            <w:tcW w:w="3877" w:type="dxa"/>
            <w:shd w:val="clear" w:color="auto" w:fill="auto"/>
            <w:vAlign w:val="center"/>
            <w:hideMark/>
          </w:tcPr>
          <w:p w14:paraId="6991481F" w14:textId="77777777" w:rsidR="007A0064" w:rsidRPr="002A1EDD" w:rsidRDefault="00D94F4C" w:rsidP="007A0064">
            <w:pPr>
              <w:jc w:val="right"/>
              <w:rPr>
                <w:color w:val="000000" w:themeColor="text1"/>
                <w:sz w:val="20"/>
                <w:szCs w:val="20"/>
              </w:rPr>
            </w:pPr>
            <w:r w:rsidRPr="002A1EDD">
              <w:rPr>
                <w:color w:val="000000" w:themeColor="text1"/>
                <w:sz w:val="20"/>
                <w:szCs w:val="20"/>
              </w:rPr>
              <w:t>T</w:t>
            </w:r>
            <w:r w:rsidR="007A0064" w:rsidRPr="002A1EDD">
              <w:rPr>
                <w:color w:val="000000" w:themeColor="text1"/>
                <w:sz w:val="20"/>
                <w:szCs w:val="20"/>
              </w:rPr>
              <w:t>ekuće pomoći EU (smjenski rad u DV)</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0588CB5F" w14:textId="77777777" w:rsidR="007A0064" w:rsidRPr="002A1EDD" w:rsidRDefault="007A0064" w:rsidP="007A0064">
            <w:pPr>
              <w:jc w:val="right"/>
              <w:rPr>
                <w:color w:val="000000" w:themeColor="text1"/>
                <w:sz w:val="20"/>
                <w:szCs w:val="20"/>
              </w:rPr>
            </w:pPr>
            <w:r w:rsidRPr="002A1EDD">
              <w:rPr>
                <w:color w:val="000000" w:themeColor="text1"/>
                <w:sz w:val="20"/>
                <w:szCs w:val="20"/>
              </w:rPr>
              <w:t>1.478.355</w:t>
            </w:r>
          </w:p>
        </w:tc>
        <w:tc>
          <w:tcPr>
            <w:tcW w:w="1306" w:type="dxa"/>
            <w:tcBorders>
              <w:top w:val="nil"/>
              <w:left w:val="nil"/>
              <w:bottom w:val="single" w:sz="4" w:space="0" w:color="auto"/>
              <w:right w:val="single" w:sz="4" w:space="0" w:color="auto"/>
            </w:tcBorders>
            <w:shd w:val="clear" w:color="auto" w:fill="auto"/>
            <w:vAlign w:val="center"/>
            <w:hideMark/>
          </w:tcPr>
          <w:p w14:paraId="6BEEA385" w14:textId="77777777" w:rsidR="007A0064" w:rsidRPr="002A1EDD" w:rsidRDefault="007A0064" w:rsidP="007A0064">
            <w:pPr>
              <w:jc w:val="right"/>
              <w:rPr>
                <w:color w:val="000000" w:themeColor="text1"/>
                <w:sz w:val="20"/>
                <w:szCs w:val="20"/>
              </w:rPr>
            </w:pPr>
            <w:r w:rsidRPr="002A1EDD">
              <w:rPr>
                <w:color w:val="000000" w:themeColor="text1"/>
                <w:sz w:val="20"/>
                <w:szCs w:val="20"/>
              </w:rPr>
              <w:t>398.800</w:t>
            </w:r>
          </w:p>
        </w:tc>
        <w:tc>
          <w:tcPr>
            <w:tcW w:w="1215" w:type="dxa"/>
            <w:tcBorders>
              <w:top w:val="nil"/>
              <w:left w:val="nil"/>
              <w:bottom w:val="single" w:sz="4" w:space="0" w:color="auto"/>
              <w:right w:val="single" w:sz="4" w:space="0" w:color="auto"/>
            </w:tcBorders>
            <w:shd w:val="clear" w:color="auto" w:fill="auto"/>
            <w:vAlign w:val="center"/>
            <w:hideMark/>
          </w:tcPr>
          <w:p w14:paraId="3D04255F" w14:textId="77777777" w:rsidR="007A0064" w:rsidRPr="002A1EDD" w:rsidRDefault="007A0064" w:rsidP="000A01E4">
            <w:pPr>
              <w:jc w:val="center"/>
              <w:rPr>
                <w:color w:val="000000" w:themeColor="text1"/>
                <w:sz w:val="20"/>
                <w:szCs w:val="20"/>
              </w:rPr>
            </w:pPr>
            <w:r w:rsidRPr="002A1EDD">
              <w:rPr>
                <w:color w:val="000000" w:themeColor="text1"/>
                <w:sz w:val="20"/>
                <w:szCs w:val="20"/>
              </w:rPr>
              <w:t>26,98</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631A7152" w14:textId="77777777" w:rsidR="007A0064" w:rsidRPr="002A1EDD" w:rsidRDefault="007A0064" w:rsidP="007A0064">
            <w:pPr>
              <w:jc w:val="right"/>
              <w:rPr>
                <w:color w:val="000000" w:themeColor="text1"/>
                <w:sz w:val="20"/>
                <w:szCs w:val="20"/>
              </w:rPr>
            </w:pPr>
            <w:r w:rsidRPr="002A1EDD">
              <w:rPr>
                <w:color w:val="000000" w:themeColor="text1"/>
                <w:sz w:val="20"/>
                <w:szCs w:val="20"/>
              </w:rPr>
              <w:t> </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087A3F65" w14:textId="77777777" w:rsidR="007A0064" w:rsidRPr="002A1EDD" w:rsidRDefault="007A0064" w:rsidP="007A0064">
            <w:pPr>
              <w:jc w:val="right"/>
              <w:rPr>
                <w:color w:val="000000" w:themeColor="text1"/>
                <w:sz w:val="20"/>
                <w:szCs w:val="20"/>
              </w:rPr>
            </w:pPr>
            <w:r w:rsidRPr="002A1EDD">
              <w:rPr>
                <w:color w:val="000000" w:themeColor="text1"/>
                <w:sz w:val="20"/>
                <w:szCs w:val="20"/>
              </w:rPr>
              <w:t> </w:t>
            </w:r>
          </w:p>
        </w:tc>
      </w:tr>
      <w:tr w:rsidR="002A1EDD" w:rsidRPr="002A1EDD" w14:paraId="0901DF5F" w14:textId="77777777" w:rsidTr="003C150F">
        <w:trPr>
          <w:trHeight w:val="264"/>
          <w:jc w:val="center"/>
        </w:trPr>
        <w:tc>
          <w:tcPr>
            <w:tcW w:w="3877" w:type="dxa"/>
            <w:shd w:val="clear" w:color="auto" w:fill="auto"/>
            <w:vAlign w:val="center"/>
          </w:tcPr>
          <w:p w14:paraId="7CFA14BE" w14:textId="77777777" w:rsidR="007A0064" w:rsidRPr="002A1EDD" w:rsidRDefault="00D94F4C" w:rsidP="007A0064">
            <w:pPr>
              <w:jc w:val="right"/>
              <w:rPr>
                <w:color w:val="000000" w:themeColor="text1"/>
                <w:sz w:val="20"/>
                <w:szCs w:val="20"/>
              </w:rPr>
            </w:pPr>
            <w:r w:rsidRPr="002A1EDD">
              <w:rPr>
                <w:color w:val="000000" w:themeColor="text1"/>
                <w:sz w:val="20"/>
                <w:szCs w:val="20"/>
              </w:rPr>
              <w:t>T</w:t>
            </w:r>
            <w:r w:rsidR="007A0064" w:rsidRPr="002A1EDD">
              <w:rPr>
                <w:color w:val="000000" w:themeColor="text1"/>
                <w:sz w:val="20"/>
                <w:szCs w:val="20"/>
              </w:rPr>
              <w:t>ekuće pomoći EU (projekti u Programu socijalne skrbi)</w:t>
            </w:r>
          </w:p>
        </w:tc>
        <w:tc>
          <w:tcPr>
            <w:tcW w:w="1306" w:type="dxa"/>
            <w:tcBorders>
              <w:top w:val="nil"/>
              <w:left w:val="single" w:sz="4" w:space="0" w:color="auto"/>
              <w:bottom w:val="single" w:sz="4" w:space="0" w:color="auto"/>
              <w:right w:val="single" w:sz="4" w:space="0" w:color="auto"/>
            </w:tcBorders>
            <w:shd w:val="clear" w:color="auto" w:fill="auto"/>
            <w:vAlign w:val="center"/>
          </w:tcPr>
          <w:p w14:paraId="20FAAEB1" w14:textId="77777777" w:rsidR="007A0064" w:rsidRPr="002A1EDD" w:rsidRDefault="007A0064" w:rsidP="007A0064">
            <w:pPr>
              <w:jc w:val="right"/>
              <w:rPr>
                <w:color w:val="000000" w:themeColor="text1"/>
                <w:sz w:val="20"/>
                <w:szCs w:val="20"/>
              </w:rPr>
            </w:pPr>
            <w:r w:rsidRPr="002A1EDD">
              <w:rPr>
                <w:color w:val="000000" w:themeColor="text1"/>
                <w:sz w:val="20"/>
                <w:szCs w:val="20"/>
              </w:rPr>
              <w:t>154.475</w:t>
            </w:r>
          </w:p>
        </w:tc>
        <w:tc>
          <w:tcPr>
            <w:tcW w:w="1306" w:type="dxa"/>
            <w:tcBorders>
              <w:top w:val="nil"/>
              <w:left w:val="nil"/>
              <w:bottom w:val="single" w:sz="4" w:space="0" w:color="auto"/>
              <w:right w:val="single" w:sz="4" w:space="0" w:color="auto"/>
            </w:tcBorders>
            <w:shd w:val="clear" w:color="auto" w:fill="auto"/>
            <w:vAlign w:val="center"/>
          </w:tcPr>
          <w:p w14:paraId="4C0C84E8" w14:textId="77777777" w:rsidR="007A0064" w:rsidRPr="002A1EDD" w:rsidRDefault="007A0064" w:rsidP="007A0064">
            <w:pPr>
              <w:jc w:val="right"/>
              <w:rPr>
                <w:color w:val="000000" w:themeColor="text1"/>
                <w:sz w:val="20"/>
                <w:szCs w:val="20"/>
              </w:rPr>
            </w:pPr>
            <w:r w:rsidRPr="002A1EDD">
              <w:rPr>
                <w:color w:val="000000" w:themeColor="text1"/>
                <w:sz w:val="20"/>
                <w:szCs w:val="20"/>
              </w:rPr>
              <w:t>1.063.750</w:t>
            </w:r>
          </w:p>
        </w:tc>
        <w:tc>
          <w:tcPr>
            <w:tcW w:w="1215" w:type="dxa"/>
            <w:tcBorders>
              <w:top w:val="nil"/>
              <w:left w:val="nil"/>
              <w:bottom w:val="single" w:sz="4" w:space="0" w:color="auto"/>
              <w:right w:val="single" w:sz="4" w:space="0" w:color="auto"/>
            </w:tcBorders>
            <w:shd w:val="clear" w:color="auto" w:fill="auto"/>
            <w:vAlign w:val="center"/>
          </w:tcPr>
          <w:p w14:paraId="1753927F" w14:textId="77777777" w:rsidR="007A0064" w:rsidRPr="002A1EDD" w:rsidRDefault="007A0064" w:rsidP="000A01E4">
            <w:pPr>
              <w:jc w:val="center"/>
              <w:rPr>
                <w:color w:val="000000" w:themeColor="text1"/>
                <w:sz w:val="20"/>
                <w:szCs w:val="20"/>
              </w:rPr>
            </w:pPr>
            <w:r w:rsidRPr="002A1EDD">
              <w:rPr>
                <w:color w:val="000000" w:themeColor="text1"/>
                <w:sz w:val="20"/>
                <w:szCs w:val="20"/>
              </w:rPr>
              <w:t>688,62</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7C27E049" w14:textId="77777777" w:rsidR="007A0064" w:rsidRPr="002A1EDD" w:rsidRDefault="007A0064" w:rsidP="007A0064">
            <w:pPr>
              <w:jc w:val="right"/>
              <w:rPr>
                <w:color w:val="000000" w:themeColor="text1"/>
                <w:sz w:val="20"/>
                <w:szCs w:val="20"/>
              </w:rPr>
            </w:pPr>
            <w:r w:rsidRPr="002A1EDD">
              <w:rPr>
                <w:color w:val="000000" w:themeColor="text1"/>
                <w:sz w:val="20"/>
                <w:szCs w:val="20"/>
              </w:rPr>
              <w:t>377.175</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20D43BAB" w14:textId="77777777" w:rsidR="007A0064" w:rsidRPr="002A1EDD" w:rsidRDefault="007A0064" w:rsidP="007A0064">
            <w:pPr>
              <w:jc w:val="right"/>
              <w:rPr>
                <w:color w:val="000000" w:themeColor="text1"/>
                <w:sz w:val="20"/>
                <w:szCs w:val="20"/>
              </w:rPr>
            </w:pPr>
            <w:r w:rsidRPr="002A1EDD">
              <w:rPr>
                <w:color w:val="000000" w:themeColor="text1"/>
                <w:sz w:val="20"/>
                <w:szCs w:val="20"/>
              </w:rPr>
              <w:t> </w:t>
            </w:r>
          </w:p>
        </w:tc>
      </w:tr>
      <w:tr w:rsidR="002A1EDD" w:rsidRPr="002A1EDD" w14:paraId="0725BD6F" w14:textId="77777777" w:rsidTr="00B47FC9">
        <w:trPr>
          <w:trHeight w:val="264"/>
          <w:jc w:val="center"/>
        </w:trPr>
        <w:tc>
          <w:tcPr>
            <w:tcW w:w="3877" w:type="dxa"/>
            <w:shd w:val="clear" w:color="auto" w:fill="auto"/>
            <w:vAlign w:val="center"/>
            <w:hideMark/>
          </w:tcPr>
          <w:p w14:paraId="27E30798" w14:textId="77777777" w:rsidR="007A0064" w:rsidRPr="002A1EDD" w:rsidRDefault="007A0064" w:rsidP="007A0064">
            <w:pPr>
              <w:jc w:val="center"/>
              <w:rPr>
                <w:b/>
                <w:bCs/>
                <w:color w:val="000000" w:themeColor="text1"/>
                <w:sz w:val="20"/>
                <w:szCs w:val="20"/>
              </w:rPr>
            </w:pPr>
            <w:r w:rsidRPr="002A1EDD">
              <w:rPr>
                <w:b/>
                <w:bCs/>
                <w:color w:val="000000" w:themeColor="text1"/>
                <w:sz w:val="20"/>
                <w:szCs w:val="20"/>
              </w:rPr>
              <w:t>2.2.kapitalne pomoći</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2204" w14:textId="77777777" w:rsidR="007A0064" w:rsidRPr="002A1EDD" w:rsidRDefault="007A0064" w:rsidP="007A0064">
            <w:pPr>
              <w:jc w:val="right"/>
              <w:rPr>
                <w:b/>
                <w:bCs/>
                <w:color w:val="000000" w:themeColor="text1"/>
                <w:sz w:val="20"/>
                <w:szCs w:val="20"/>
              </w:rPr>
            </w:pPr>
            <w:r w:rsidRPr="002A1EDD">
              <w:rPr>
                <w:b/>
                <w:bCs/>
                <w:color w:val="000000" w:themeColor="text1"/>
                <w:sz w:val="20"/>
                <w:szCs w:val="20"/>
              </w:rPr>
              <w:t>27.404.562</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5D0DE73" w14:textId="77777777" w:rsidR="007A0064" w:rsidRPr="002A1EDD" w:rsidRDefault="007A0064" w:rsidP="007A0064">
            <w:pPr>
              <w:jc w:val="right"/>
              <w:rPr>
                <w:b/>
                <w:bCs/>
                <w:color w:val="000000" w:themeColor="text1"/>
                <w:sz w:val="20"/>
                <w:szCs w:val="20"/>
              </w:rPr>
            </w:pPr>
            <w:r w:rsidRPr="002A1EDD">
              <w:rPr>
                <w:b/>
                <w:bCs/>
                <w:color w:val="000000" w:themeColor="text1"/>
                <w:sz w:val="20"/>
                <w:szCs w:val="20"/>
              </w:rPr>
              <w:t>17.845.500</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18F2CA4E" w14:textId="77777777" w:rsidR="007A0064" w:rsidRPr="002A1EDD" w:rsidRDefault="007A0064" w:rsidP="000A01E4">
            <w:pPr>
              <w:jc w:val="center"/>
              <w:rPr>
                <w:color w:val="000000" w:themeColor="text1"/>
                <w:sz w:val="20"/>
                <w:szCs w:val="20"/>
              </w:rPr>
            </w:pPr>
            <w:r w:rsidRPr="002A1EDD">
              <w:rPr>
                <w:b/>
                <w:bCs/>
                <w:color w:val="000000" w:themeColor="text1"/>
                <w:sz w:val="20"/>
                <w:szCs w:val="20"/>
              </w:rPr>
              <w:t>65,12</w:t>
            </w:r>
          </w:p>
        </w:tc>
        <w:tc>
          <w:tcPr>
            <w:tcW w:w="1306" w:type="dxa"/>
            <w:tcBorders>
              <w:top w:val="single" w:sz="4" w:space="0" w:color="auto"/>
              <w:left w:val="nil"/>
              <w:bottom w:val="single" w:sz="4" w:space="0" w:color="auto"/>
              <w:right w:val="single" w:sz="4" w:space="0" w:color="auto"/>
            </w:tcBorders>
            <w:shd w:val="clear" w:color="auto" w:fill="auto"/>
            <w:vAlign w:val="center"/>
          </w:tcPr>
          <w:p w14:paraId="3547D4B9" w14:textId="77777777" w:rsidR="007A0064" w:rsidRPr="002A1EDD" w:rsidRDefault="007A0064" w:rsidP="007A0064">
            <w:pPr>
              <w:jc w:val="right"/>
              <w:rPr>
                <w:b/>
                <w:bCs/>
                <w:color w:val="000000" w:themeColor="text1"/>
                <w:sz w:val="20"/>
                <w:szCs w:val="20"/>
              </w:rPr>
            </w:pPr>
            <w:r w:rsidRPr="002A1EDD">
              <w:rPr>
                <w:b/>
                <w:bCs/>
                <w:color w:val="000000" w:themeColor="text1"/>
                <w:sz w:val="20"/>
                <w:szCs w:val="20"/>
              </w:rPr>
              <w:t>8.972.000</w:t>
            </w:r>
          </w:p>
        </w:tc>
        <w:tc>
          <w:tcPr>
            <w:tcW w:w="1306" w:type="dxa"/>
            <w:tcBorders>
              <w:top w:val="single" w:sz="4" w:space="0" w:color="auto"/>
              <w:left w:val="nil"/>
              <w:bottom w:val="single" w:sz="4" w:space="0" w:color="auto"/>
              <w:right w:val="single" w:sz="4" w:space="0" w:color="auto"/>
            </w:tcBorders>
            <w:shd w:val="clear" w:color="auto" w:fill="auto"/>
            <w:vAlign w:val="center"/>
          </w:tcPr>
          <w:p w14:paraId="1FB89480" w14:textId="77777777" w:rsidR="007A0064" w:rsidRPr="002A1EDD" w:rsidRDefault="007A0064" w:rsidP="007A0064">
            <w:pPr>
              <w:jc w:val="right"/>
              <w:rPr>
                <w:b/>
                <w:bCs/>
                <w:color w:val="000000" w:themeColor="text1"/>
                <w:sz w:val="20"/>
                <w:szCs w:val="20"/>
              </w:rPr>
            </w:pPr>
            <w:r w:rsidRPr="002A1EDD">
              <w:rPr>
                <w:b/>
                <w:bCs/>
                <w:color w:val="000000" w:themeColor="text1"/>
                <w:sz w:val="20"/>
                <w:szCs w:val="20"/>
              </w:rPr>
              <w:t>8.432.000</w:t>
            </w:r>
          </w:p>
        </w:tc>
      </w:tr>
      <w:tr w:rsidR="002A1EDD" w:rsidRPr="002A1EDD" w14:paraId="5B695DFE" w14:textId="77777777" w:rsidTr="003C150F">
        <w:trPr>
          <w:trHeight w:val="264"/>
          <w:jc w:val="center"/>
        </w:trPr>
        <w:tc>
          <w:tcPr>
            <w:tcW w:w="3877" w:type="dxa"/>
            <w:shd w:val="clear" w:color="auto" w:fill="auto"/>
            <w:vAlign w:val="center"/>
            <w:hideMark/>
          </w:tcPr>
          <w:p w14:paraId="4DE0F103" w14:textId="77777777" w:rsidR="007A0064" w:rsidRPr="002A1EDD" w:rsidRDefault="00D94F4C" w:rsidP="00D94F4C">
            <w:pPr>
              <w:jc w:val="right"/>
              <w:rPr>
                <w:color w:val="000000" w:themeColor="text1"/>
                <w:sz w:val="20"/>
                <w:szCs w:val="20"/>
              </w:rPr>
            </w:pPr>
            <w:r w:rsidRPr="002A1EDD">
              <w:rPr>
                <w:color w:val="000000" w:themeColor="text1"/>
                <w:sz w:val="20"/>
                <w:szCs w:val="20"/>
              </w:rPr>
              <w:t>P</w:t>
            </w:r>
            <w:r w:rsidR="007A0064" w:rsidRPr="002A1EDD">
              <w:rPr>
                <w:color w:val="000000" w:themeColor="text1"/>
                <w:sz w:val="20"/>
                <w:szCs w:val="20"/>
              </w:rPr>
              <w:t xml:space="preserve">omoći EU </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498AE7F1" w14:textId="77777777" w:rsidR="007A0064" w:rsidRPr="002A1EDD" w:rsidRDefault="007A0064" w:rsidP="007A0064">
            <w:pPr>
              <w:jc w:val="right"/>
              <w:rPr>
                <w:color w:val="000000" w:themeColor="text1"/>
                <w:sz w:val="20"/>
                <w:szCs w:val="20"/>
              </w:rPr>
            </w:pPr>
            <w:r w:rsidRPr="002A1EDD">
              <w:rPr>
                <w:color w:val="000000" w:themeColor="text1"/>
                <w:sz w:val="20"/>
                <w:szCs w:val="20"/>
              </w:rPr>
              <w:t>19.643.792</w:t>
            </w:r>
          </w:p>
        </w:tc>
        <w:tc>
          <w:tcPr>
            <w:tcW w:w="1306" w:type="dxa"/>
            <w:tcBorders>
              <w:top w:val="nil"/>
              <w:left w:val="nil"/>
              <w:bottom w:val="single" w:sz="4" w:space="0" w:color="auto"/>
              <w:right w:val="single" w:sz="4" w:space="0" w:color="auto"/>
            </w:tcBorders>
            <w:shd w:val="clear" w:color="auto" w:fill="auto"/>
            <w:vAlign w:val="center"/>
            <w:hideMark/>
          </w:tcPr>
          <w:p w14:paraId="70F0D8F2" w14:textId="77777777" w:rsidR="007A0064" w:rsidRPr="002A1EDD" w:rsidRDefault="007A0064" w:rsidP="007A0064">
            <w:pPr>
              <w:jc w:val="right"/>
              <w:rPr>
                <w:color w:val="000000" w:themeColor="text1"/>
                <w:sz w:val="20"/>
                <w:szCs w:val="20"/>
              </w:rPr>
            </w:pPr>
            <w:r w:rsidRPr="002A1EDD">
              <w:rPr>
                <w:color w:val="000000" w:themeColor="text1"/>
                <w:sz w:val="20"/>
                <w:szCs w:val="20"/>
              </w:rPr>
              <w:t>13.878.500</w:t>
            </w:r>
          </w:p>
        </w:tc>
        <w:tc>
          <w:tcPr>
            <w:tcW w:w="1215" w:type="dxa"/>
            <w:tcBorders>
              <w:top w:val="nil"/>
              <w:left w:val="nil"/>
              <w:bottom w:val="single" w:sz="4" w:space="0" w:color="auto"/>
              <w:right w:val="single" w:sz="4" w:space="0" w:color="auto"/>
            </w:tcBorders>
            <w:shd w:val="clear" w:color="auto" w:fill="auto"/>
            <w:vAlign w:val="center"/>
            <w:hideMark/>
          </w:tcPr>
          <w:p w14:paraId="62BFB84B" w14:textId="77777777" w:rsidR="007A0064" w:rsidRPr="002A1EDD" w:rsidRDefault="007A0064" w:rsidP="000A01E4">
            <w:pPr>
              <w:jc w:val="center"/>
              <w:rPr>
                <w:color w:val="000000" w:themeColor="text1"/>
                <w:sz w:val="20"/>
                <w:szCs w:val="20"/>
              </w:rPr>
            </w:pPr>
            <w:r w:rsidRPr="002A1EDD">
              <w:rPr>
                <w:color w:val="000000" w:themeColor="text1"/>
                <w:sz w:val="20"/>
                <w:szCs w:val="20"/>
              </w:rPr>
              <w:t>70,65</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700E032A" w14:textId="77777777" w:rsidR="007A0064" w:rsidRPr="002A1EDD" w:rsidRDefault="007A0064" w:rsidP="007A0064">
            <w:pPr>
              <w:jc w:val="right"/>
              <w:rPr>
                <w:color w:val="000000" w:themeColor="text1"/>
                <w:sz w:val="20"/>
                <w:szCs w:val="20"/>
              </w:rPr>
            </w:pPr>
            <w:r w:rsidRPr="002A1EDD">
              <w:rPr>
                <w:color w:val="000000" w:themeColor="text1"/>
                <w:sz w:val="20"/>
                <w:szCs w:val="20"/>
              </w:rPr>
              <w:t>5.750.000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649C4E01" w14:textId="77777777" w:rsidR="007A0064" w:rsidRPr="002A1EDD" w:rsidRDefault="007A0064" w:rsidP="007A0064">
            <w:pPr>
              <w:jc w:val="right"/>
              <w:rPr>
                <w:color w:val="000000" w:themeColor="text1"/>
                <w:sz w:val="20"/>
                <w:szCs w:val="20"/>
              </w:rPr>
            </w:pPr>
            <w:r w:rsidRPr="002A1EDD">
              <w:rPr>
                <w:color w:val="000000" w:themeColor="text1"/>
                <w:sz w:val="20"/>
                <w:szCs w:val="20"/>
              </w:rPr>
              <w:t>6.200.000</w:t>
            </w:r>
          </w:p>
        </w:tc>
      </w:tr>
      <w:tr w:rsidR="002A1EDD" w:rsidRPr="002A1EDD" w14:paraId="3642AC64" w14:textId="77777777" w:rsidTr="003C150F">
        <w:trPr>
          <w:trHeight w:val="264"/>
          <w:jc w:val="center"/>
        </w:trPr>
        <w:tc>
          <w:tcPr>
            <w:tcW w:w="3877" w:type="dxa"/>
            <w:shd w:val="clear" w:color="auto" w:fill="auto"/>
            <w:vAlign w:val="center"/>
            <w:hideMark/>
          </w:tcPr>
          <w:p w14:paraId="7447CD1C" w14:textId="77777777" w:rsidR="007A0064" w:rsidRPr="002A1EDD" w:rsidRDefault="00D94F4C" w:rsidP="007A0064">
            <w:pPr>
              <w:jc w:val="right"/>
              <w:rPr>
                <w:color w:val="000000" w:themeColor="text1"/>
                <w:sz w:val="20"/>
                <w:szCs w:val="20"/>
              </w:rPr>
            </w:pPr>
            <w:r w:rsidRPr="002A1EDD">
              <w:rPr>
                <w:color w:val="000000" w:themeColor="text1"/>
                <w:sz w:val="20"/>
                <w:szCs w:val="20"/>
              </w:rPr>
              <w:t>P</w:t>
            </w:r>
            <w:r w:rsidR="007A0064" w:rsidRPr="002A1EDD">
              <w:rPr>
                <w:color w:val="000000" w:themeColor="text1"/>
                <w:sz w:val="20"/>
                <w:szCs w:val="20"/>
              </w:rPr>
              <w:t>omoći PGŽ</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0194A456" w14:textId="77777777" w:rsidR="007A0064" w:rsidRPr="002A1EDD" w:rsidRDefault="007A0064" w:rsidP="007A0064">
            <w:pPr>
              <w:jc w:val="right"/>
              <w:rPr>
                <w:color w:val="000000" w:themeColor="text1"/>
                <w:sz w:val="20"/>
                <w:szCs w:val="20"/>
              </w:rPr>
            </w:pPr>
            <w:r w:rsidRPr="002A1EDD">
              <w:rPr>
                <w:color w:val="000000" w:themeColor="text1"/>
                <w:sz w:val="20"/>
                <w:szCs w:val="20"/>
              </w:rPr>
              <w:t>3.252.000</w:t>
            </w:r>
          </w:p>
        </w:tc>
        <w:tc>
          <w:tcPr>
            <w:tcW w:w="1306" w:type="dxa"/>
            <w:tcBorders>
              <w:top w:val="nil"/>
              <w:left w:val="nil"/>
              <w:bottom w:val="single" w:sz="4" w:space="0" w:color="auto"/>
              <w:right w:val="single" w:sz="4" w:space="0" w:color="auto"/>
            </w:tcBorders>
            <w:shd w:val="clear" w:color="auto" w:fill="auto"/>
            <w:vAlign w:val="center"/>
            <w:hideMark/>
          </w:tcPr>
          <w:p w14:paraId="3E711FC7" w14:textId="77777777" w:rsidR="007A0064" w:rsidRPr="002A1EDD" w:rsidRDefault="007A0064" w:rsidP="007A0064">
            <w:pPr>
              <w:jc w:val="right"/>
              <w:rPr>
                <w:color w:val="000000" w:themeColor="text1"/>
                <w:sz w:val="20"/>
                <w:szCs w:val="20"/>
              </w:rPr>
            </w:pPr>
            <w:r w:rsidRPr="002A1EDD">
              <w:rPr>
                <w:color w:val="000000" w:themeColor="text1"/>
                <w:sz w:val="20"/>
                <w:szCs w:val="20"/>
              </w:rPr>
              <w:t>2.200.000</w:t>
            </w:r>
          </w:p>
        </w:tc>
        <w:tc>
          <w:tcPr>
            <w:tcW w:w="1215" w:type="dxa"/>
            <w:tcBorders>
              <w:top w:val="nil"/>
              <w:left w:val="nil"/>
              <w:bottom w:val="single" w:sz="4" w:space="0" w:color="auto"/>
              <w:right w:val="single" w:sz="4" w:space="0" w:color="auto"/>
            </w:tcBorders>
            <w:shd w:val="clear" w:color="auto" w:fill="auto"/>
            <w:vAlign w:val="center"/>
            <w:hideMark/>
          </w:tcPr>
          <w:p w14:paraId="14DCF967" w14:textId="77777777" w:rsidR="007A0064" w:rsidRPr="002A1EDD" w:rsidRDefault="007A0064" w:rsidP="000A01E4">
            <w:pPr>
              <w:jc w:val="center"/>
              <w:rPr>
                <w:color w:val="000000" w:themeColor="text1"/>
                <w:sz w:val="20"/>
                <w:szCs w:val="20"/>
              </w:rPr>
            </w:pPr>
            <w:r w:rsidRPr="002A1EDD">
              <w:rPr>
                <w:color w:val="000000" w:themeColor="text1"/>
                <w:sz w:val="20"/>
                <w:szCs w:val="20"/>
              </w:rPr>
              <w:t>67,65</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7C5896C4" w14:textId="77777777" w:rsidR="007A0064" w:rsidRPr="002A1EDD" w:rsidRDefault="007A0064" w:rsidP="007A0064">
            <w:pPr>
              <w:jc w:val="right"/>
              <w:rPr>
                <w:color w:val="000000" w:themeColor="text1"/>
                <w:sz w:val="20"/>
                <w:szCs w:val="20"/>
              </w:rPr>
            </w:pPr>
            <w:r w:rsidRPr="002A1EDD">
              <w:rPr>
                <w:color w:val="000000" w:themeColor="text1"/>
                <w:sz w:val="20"/>
                <w:szCs w:val="20"/>
              </w:rPr>
              <w:t>1.500.000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6D9CDFCD" w14:textId="77777777" w:rsidR="007A0064" w:rsidRPr="002A1EDD" w:rsidRDefault="007A0064" w:rsidP="007A0064">
            <w:pPr>
              <w:jc w:val="right"/>
              <w:rPr>
                <w:color w:val="000000" w:themeColor="text1"/>
                <w:sz w:val="20"/>
                <w:szCs w:val="20"/>
              </w:rPr>
            </w:pPr>
            <w:r w:rsidRPr="002A1EDD">
              <w:rPr>
                <w:color w:val="000000" w:themeColor="text1"/>
                <w:sz w:val="20"/>
                <w:szCs w:val="20"/>
              </w:rPr>
              <w:t>0</w:t>
            </w:r>
          </w:p>
        </w:tc>
      </w:tr>
      <w:tr w:rsidR="002A1EDD" w:rsidRPr="002A1EDD" w14:paraId="1B6AE997" w14:textId="77777777" w:rsidTr="003C150F">
        <w:trPr>
          <w:trHeight w:val="264"/>
          <w:jc w:val="center"/>
        </w:trPr>
        <w:tc>
          <w:tcPr>
            <w:tcW w:w="3877" w:type="dxa"/>
            <w:shd w:val="clear" w:color="auto" w:fill="auto"/>
            <w:vAlign w:val="center"/>
            <w:hideMark/>
          </w:tcPr>
          <w:p w14:paraId="36DC47FA" w14:textId="77777777" w:rsidR="007A0064" w:rsidRPr="002A1EDD" w:rsidRDefault="00D94F4C" w:rsidP="00D94F4C">
            <w:pPr>
              <w:jc w:val="right"/>
              <w:rPr>
                <w:color w:val="000000" w:themeColor="text1"/>
                <w:sz w:val="20"/>
                <w:szCs w:val="20"/>
              </w:rPr>
            </w:pPr>
            <w:r w:rsidRPr="002A1EDD">
              <w:rPr>
                <w:color w:val="000000" w:themeColor="text1"/>
                <w:sz w:val="20"/>
                <w:szCs w:val="20"/>
              </w:rPr>
              <w:t>P</w:t>
            </w:r>
            <w:r w:rsidR="007A0064" w:rsidRPr="002A1EDD">
              <w:rPr>
                <w:color w:val="000000" w:themeColor="text1"/>
                <w:sz w:val="20"/>
                <w:szCs w:val="20"/>
              </w:rPr>
              <w:t>omoći državni proračun</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3BC21EE2" w14:textId="77777777" w:rsidR="007A0064" w:rsidRPr="002A1EDD" w:rsidRDefault="00380355" w:rsidP="007A0064">
            <w:pPr>
              <w:jc w:val="right"/>
              <w:rPr>
                <w:color w:val="000000" w:themeColor="text1"/>
                <w:sz w:val="20"/>
                <w:szCs w:val="20"/>
              </w:rPr>
            </w:pPr>
            <w:r w:rsidRPr="002A1EDD">
              <w:rPr>
                <w:color w:val="000000" w:themeColor="text1"/>
                <w:sz w:val="20"/>
                <w:szCs w:val="20"/>
              </w:rPr>
              <w:t>1.1</w:t>
            </w:r>
            <w:r w:rsidR="007A0064" w:rsidRPr="002A1EDD">
              <w:rPr>
                <w:color w:val="000000" w:themeColor="text1"/>
                <w:sz w:val="20"/>
                <w:szCs w:val="20"/>
              </w:rPr>
              <w:t>78.770</w:t>
            </w:r>
          </w:p>
        </w:tc>
        <w:tc>
          <w:tcPr>
            <w:tcW w:w="1306" w:type="dxa"/>
            <w:tcBorders>
              <w:top w:val="nil"/>
              <w:left w:val="nil"/>
              <w:bottom w:val="single" w:sz="4" w:space="0" w:color="auto"/>
              <w:right w:val="single" w:sz="4" w:space="0" w:color="auto"/>
            </w:tcBorders>
            <w:shd w:val="clear" w:color="auto" w:fill="auto"/>
            <w:vAlign w:val="center"/>
            <w:hideMark/>
          </w:tcPr>
          <w:p w14:paraId="21278E82" w14:textId="77777777" w:rsidR="007A0064" w:rsidRPr="002A1EDD" w:rsidRDefault="00380355" w:rsidP="007A0064">
            <w:pPr>
              <w:jc w:val="right"/>
              <w:rPr>
                <w:color w:val="000000" w:themeColor="text1"/>
                <w:sz w:val="20"/>
                <w:szCs w:val="20"/>
              </w:rPr>
            </w:pPr>
            <w:r w:rsidRPr="002A1EDD">
              <w:rPr>
                <w:color w:val="000000" w:themeColor="text1"/>
                <w:sz w:val="20"/>
                <w:szCs w:val="20"/>
              </w:rPr>
              <w:t>2</w:t>
            </w:r>
            <w:r w:rsidR="007A0064" w:rsidRPr="002A1EDD">
              <w:rPr>
                <w:color w:val="000000" w:themeColor="text1"/>
                <w:sz w:val="20"/>
                <w:szCs w:val="20"/>
              </w:rPr>
              <w:t>37.000</w:t>
            </w:r>
          </w:p>
        </w:tc>
        <w:tc>
          <w:tcPr>
            <w:tcW w:w="1215" w:type="dxa"/>
            <w:tcBorders>
              <w:top w:val="nil"/>
              <w:left w:val="nil"/>
              <w:bottom w:val="single" w:sz="4" w:space="0" w:color="auto"/>
              <w:right w:val="single" w:sz="4" w:space="0" w:color="auto"/>
            </w:tcBorders>
            <w:shd w:val="clear" w:color="auto" w:fill="auto"/>
            <w:vAlign w:val="center"/>
            <w:hideMark/>
          </w:tcPr>
          <w:p w14:paraId="0592D2DE" w14:textId="77777777" w:rsidR="007A0064" w:rsidRPr="002A1EDD" w:rsidRDefault="007A0064" w:rsidP="000A01E4">
            <w:pPr>
              <w:jc w:val="center"/>
              <w:rPr>
                <w:color w:val="000000" w:themeColor="text1"/>
                <w:sz w:val="20"/>
                <w:szCs w:val="20"/>
              </w:rPr>
            </w:pPr>
            <w:r w:rsidRPr="002A1EDD">
              <w:rPr>
                <w:color w:val="000000" w:themeColor="text1"/>
                <w:sz w:val="20"/>
                <w:szCs w:val="20"/>
              </w:rPr>
              <w:t>3,43</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6CB0469E" w14:textId="77777777" w:rsidR="007A0064" w:rsidRPr="002A1EDD" w:rsidRDefault="007A0064" w:rsidP="007A0064">
            <w:pPr>
              <w:jc w:val="right"/>
              <w:rPr>
                <w:color w:val="000000" w:themeColor="text1"/>
                <w:sz w:val="20"/>
                <w:szCs w:val="20"/>
              </w:rPr>
            </w:pPr>
            <w:r w:rsidRPr="002A1EDD">
              <w:rPr>
                <w:color w:val="000000" w:themeColor="text1"/>
                <w:sz w:val="20"/>
                <w:szCs w:val="20"/>
              </w:rPr>
              <w:t>1.650.000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41920F8A" w14:textId="77777777" w:rsidR="007A0064" w:rsidRPr="002A1EDD" w:rsidRDefault="007A0064" w:rsidP="007A0064">
            <w:pPr>
              <w:jc w:val="right"/>
              <w:rPr>
                <w:color w:val="000000" w:themeColor="text1"/>
                <w:sz w:val="20"/>
                <w:szCs w:val="20"/>
              </w:rPr>
            </w:pPr>
            <w:r w:rsidRPr="002A1EDD">
              <w:rPr>
                <w:color w:val="000000" w:themeColor="text1"/>
                <w:sz w:val="20"/>
                <w:szCs w:val="20"/>
              </w:rPr>
              <w:t>2.160.000</w:t>
            </w:r>
          </w:p>
        </w:tc>
      </w:tr>
      <w:tr w:rsidR="002A1EDD" w:rsidRPr="002A1EDD" w14:paraId="7B15BC30" w14:textId="77777777" w:rsidTr="003C150F">
        <w:trPr>
          <w:trHeight w:val="264"/>
          <w:jc w:val="center"/>
        </w:trPr>
        <w:tc>
          <w:tcPr>
            <w:tcW w:w="3877" w:type="dxa"/>
            <w:shd w:val="clear" w:color="auto" w:fill="auto"/>
            <w:vAlign w:val="center"/>
          </w:tcPr>
          <w:p w14:paraId="6F901221" w14:textId="77777777" w:rsidR="007A0064" w:rsidRPr="002A1EDD" w:rsidRDefault="00D94F4C" w:rsidP="007A0064">
            <w:pPr>
              <w:ind w:left="379"/>
              <w:jc w:val="right"/>
              <w:rPr>
                <w:color w:val="000000" w:themeColor="text1"/>
                <w:sz w:val="20"/>
                <w:szCs w:val="20"/>
              </w:rPr>
            </w:pPr>
            <w:r w:rsidRPr="002A1EDD">
              <w:rPr>
                <w:color w:val="000000" w:themeColor="text1"/>
                <w:sz w:val="20"/>
                <w:szCs w:val="20"/>
              </w:rPr>
              <w:t>P</w:t>
            </w:r>
            <w:r w:rsidR="007A0064" w:rsidRPr="002A1EDD">
              <w:rPr>
                <w:color w:val="000000" w:themeColor="text1"/>
                <w:sz w:val="20"/>
                <w:szCs w:val="20"/>
              </w:rPr>
              <w:t>omoći FZZO (</w:t>
            </w:r>
            <w:proofErr w:type="spellStart"/>
            <w:r w:rsidR="007A0064" w:rsidRPr="002A1EDD">
              <w:rPr>
                <w:color w:val="000000" w:themeColor="text1"/>
                <w:sz w:val="20"/>
                <w:szCs w:val="20"/>
              </w:rPr>
              <w:t>Osojnica</w:t>
            </w:r>
            <w:proofErr w:type="spellEnd"/>
            <w:r w:rsidR="007A0064" w:rsidRPr="002A1EDD">
              <w:rPr>
                <w:color w:val="000000" w:themeColor="text1"/>
                <w:sz w:val="20"/>
                <w:szCs w:val="20"/>
              </w:rPr>
              <w:t>)</w:t>
            </w:r>
          </w:p>
        </w:tc>
        <w:tc>
          <w:tcPr>
            <w:tcW w:w="1306" w:type="dxa"/>
            <w:tcBorders>
              <w:top w:val="nil"/>
              <w:left w:val="single" w:sz="4" w:space="0" w:color="auto"/>
              <w:bottom w:val="single" w:sz="4" w:space="0" w:color="auto"/>
              <w:right w:val="single" w:sz="4" w:space="0" w:color="auto"/>
            </w:tcBorders>
            <w:shd w:val="clear" w:color="auto" w:fill="auto"/>
            <w:vAlign w:val="center"/>
          </w:tcPr>
          <w:p w14:paraId="051478BF" w14:textId="77777777" w:rsidR="007A0064" w:rsidRPr="002A1EDD" w:rsidRDefault="007A0064" w:rsidP="007A0064">
            <w:pPr>
              <w:jc w:val="right"/>
              <w:rPr>
                <w:b/>
                <w:bCs/>
                <w:color w:val="000000" w:themeColor="text1"/>
                <w:sz w:val="20"/>
                <w:szCs w:val="20"/>
              </w:rPr>
            </w:pPr>
            <w:r w:rsidRPr="002A1EDD">
              <w:rPr>
                <w:color w:val="000000" w:themeColor="text1"/>
                <w:sz w:val="20"/>
                <w:szCs w:val="20"/>
              </w:rPr>
              <w:t>2.557.300</w:t>
            </w:r>
          </w:p>
        </w:tc>
        <w:tc>
          <w:tcPr>
            <w:tcW w:w="1306" w:type="dxa"/>
            <w:tcBorders>
              <w:top w:val="nil"/>
              <w:left w:val="nil"/>
              <w:bottom w:val="single" w:sz="4" w:space="0" w:color="auto"/>
              <w:right w:val="single" w:sz="4" w:space="0" w:color="auto"/>
            </w:tcBorders>
            <w:shd w:val="clear" w:color="auto" w:fill="auto"/>
            <w:vAlign w:val="center"/>
          </w:tcPr>
          <w:p w14:paraId="7D68FB7E" w14:textId="77777777" w:rsidR="007A0064" w:rsidRPr="002A1EDD" w:rsidRDefault="007A0064" w:rsidP="007A0064">
            <w:pPr>
              <w:jc w:val="right"/>
              <w:rPr>
                <w:b/>
                <w:bCs/>
                <w:color w:val="000000" w:themeColor="text1"/>
                <w:sz w:val="20"/>
                <w:szCs w:val="20"/>
              </w:rPr>
            </w:pPr>
            <w:r w:rsidRPr="002A1EDD">
              <w:rPr>
                <w:color w:val="000000" w:themeColor="text1"/>
                <w:sz w:val="20"/>
                <w:szCs w:val="20"/>
              </w:rPr>
              <w:t>1.035.000</w:t>
            </w:r>
          </w:p>
        </w:tc>
        <w:tc>
          <w:tcPr>
            <w:tcW w:w="1215" w:type="dxa"/>
            <w:tcBorders>
              <w:top w:val="nil"/>
              <w:left w:val="nil"/>
              <w:bottom w:val="single" w:sz="4" w:space="0" w:color="auto"/>
              <w:right w:val="single" w:sz="4" w:space="0" w:color="auto"/>
            </w:tcBorders>
            <w:shd w:val="clear" w:color="auto" w:fill="auto"/>
            <w:vAlign w:val="center"/>
          </w:tcPr>
          <w:p w14:paraId="3F85153F" w14:textId="77777777" w:rsidR="007A0064" w:rsidRPr="002A1EDD" w:rsidRDefault="007A0064" w:rsidP="000A01E4">
            <w:pPr>
              <w:jc w:val="center"/>
              <w:rPr>
                <w:b/>
                <w:bCs/>
                <w:color w:val="000000" w:themeColor="text1"/>
                <w:sz w:val="20"/>
                <w:szCs w:val="20"/>
              </w:rPr>
            </w:pPr>
            <w:r w:rsidRPr="002A1EDD">
              <w:rPr>
                <w:color w:val="000000" w:themeColor="text1"/>
                <w:sz w:val="20"/>
                <w:szCs w:val="20"/>
              </w:rPr>
              <w:t>40,47</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6F8CF11E" w14:textId="77777777" w:rsidR="007A0064" w:rsidRPr="002A1EDD" w:rsidRDefault="007A0064" w:rsidP="007A0064">
            <w:pPr>
              <w:jc w:val="right"/>
              <w:rPr>
                <w:color w:val="000000" w:themeColor="text1"/>
                <w:sz w:val="20"/>
                <w:szCs w:val="20"/>
              </w:rPr>
            </w:pPr>
            <w:r w:rsidRPr="002A1EDD">
              <w:rPr>
                <w:color w:val="000000" w:themeColor="text1"/>
                <w:sz w:val="20"/>
                <w:szCs w:val="20"/>
              </w:rPr>
              <w:t>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0D0B06EF" w14:textId="77777777" w:rsidR="007A0064" w:rsidRPr="002A1EDD" w:rsidRDefault="007A0064" w:rsidP="007A0064">
            <w:pPr>
              <w:jc w:val="right"/>
              <w:rPr>
                <w:color w:val="000000" w:themeColor="text1"/>
                <w:sz w:val="20"/>
                <w:szCs w:val="20"/>
              </w:rPr>
            </w:pPr>
            <w:r w:rsidRPr="002A1EDD">
              <w:rPr>
                <w:color w:val="000000" w:themeColor="text1"/>
                <w:sz w:val="20"/>
                <w:szCs w:val="20"/>
              </w:rPr>
              <w:t> </w:t>
            </w:r>
          </w:p>
        </w:tc>
      </w:tr>
      <w:tr w:rsidR="002A1EDD" w:rsidRPr="002A1EDD" w14:paraId="5365AA46" w14:textId="77777777" w:rsidTr="003C150F">
        <w:trPr>
          <w:trHeight w:val="264"/>
          <w:jc w:val="center"/>
        </w:trPr>
        <w:tc>
          <w:tcPr>
            <w:tcW w:w="3877" w:type="dxa"/>
            <w:shd w:val="clear" w:color="auto" w:fill="auto"/>
            <w:vAlign w:val="center"/>
          </w:tcPr>
          <w:p w14:paraId="0BE17494" w14:textId="77777777" w:rsidR="007A0064" w:rsidRPr="002A1EDD" w:rsidRDefault="00D94F4C" w:rsidP="007A0064">
            <w:pPr>
              <w:ind w:left="379"/>
              <w:jc w:val="right"/>
              <w:rPr>
                <w:color w:val="000000" w:themeColor="text1"/>
                <w:sz w:val="20"/>
                <w:szCs w:val="20"/>
              </w:rPr>
            </w:pPr>
            <w:r w:rsidRPr="002A1EDD">
              <w:rPr>
                <w:color w:val="000000" w:themeColor="text1"/>
                <w:sz w:val="20"/>
                <w:szCs w:val="20"/>
              </w:rPr>
              <w:t>P</w:t>
            </w:r>
            <w:r w:rsidR="007A0064" w:rsidRPr="002A1EDD">
              <w:rPr>
                <w:color w:val="000000" w:themeColor="text1"/>
                <w:sz w:val="20"/>
                <w:szCs w:val="20"/>
              </w:rPr>
              <w:t>omoći JLS (</w:t>
            </w:r>
            <w:proofErr w:type="spellStart"/>
            <w:r w:rsidR="00335946" w:rsidRPr="002A1EDD">
              <w:rPr>
                <w:color w:val="000000" w:themeColor="text1"/>
                <w:sz w:val="20"/>
                <w:szCs w:val="20"/>
              </w:rPr>
              <w:t>O</w:t>
            </w:r>
            <w:r w:rsidR="007A0064" w:rsidRPr="002A1EDD">
              <w:rPr>
                <w:color w:val="000000" w:themeColor="text1"/>
                <w:sz w:val="20"/>
                <w:szCs w:val="20"/>
              </w:rPr>
              <w:t>sojnica</w:t>
            </w:r>
            <w:proofErr w:type="spellEnd"/>
            <w:r w:rsidR="007A0064" w:rsidRPr="002A1EDD">
              <w:rPr>
                <w:color w:val="000000" w:themeColor="text1"/>
                <w:sz w:val="20"/>
                <w:szCs w:val="20"/>
              </w:rPr>
              <w:t>)</w:t>
            </w:r>
          </w:p>
        </w:tc>
        <w:tc>
          <w:tcPr>
            <w:tcW w:w="1306" w:type="dxa"/>
            <w:tcBorders>
              <w:top w:val="nil"/>
              <w:left w:val="single" w:sz="4" w:space="0" w:color="auto"/>
              <w:bottom w:val="single" w:sz="4" w:space="0" w:color="auto"/>
              <w:right w:val="single" w:sz="4" w:space="0" w:color="auto"/>
            </w:tcBorders>
            <w:shd w:val="clear" w:color="auto" w:fill="auto"/>
            <w:vAlign w:val="center"/>
          </w:tcPr>
          <w:p w14:paraId="6341FE0C" w14:textId="77777777" w:rsidR="007A0064" w:rsidRPr="002A1EDD" w:rsidRDefault="007A0064" w:rsidP="007A0064">
            <w:pPr>
              <w:jc w:val="right"/>
              <w:rPr>
                <w:b/>
                <w:bCs/>
                <w:color w:val="000000" w:themeColor="text1"/>
                <w:sz w:val="20"/>
                <w:szCs w:val="20"/>
              </w:rPr>
            </w:pPr>
            <w:r w:rsidRPr="002A1EDD">
              <w:rPr>
                <w:color w:val="000000" w:themeColor="text1"/>
                <w:sz w:val="20"/>
                <w:szCs w:val="20"/>
              </w:rPr>
              <w:t>772.700</w:t>
            </w:r>
          </w:p>
        </w:tc>
        <w:tc>
          <w:tcPr>
            <w:tcW w:w="1306" w:type="dxa"/>
            <w:tcBorders>
              <w:top w:val="nil"/>
              <w:left w:val="nil"/>
              <w:bottom w:val="single" w:sz="4" w:space="0" w:color="auto"/>
              <w:right w:val="single" w:sz="4" w:space="0" w:color="auto"/>
            </w:tcBorders>
            <w:shd w:val="clear" w:color="auto" w:fill="auto"/>
            <w:vAlign w:val="center"/>
          </w:tcPr>
          <w:p w14:paraId="75BBF99C" w14:textId="77777777" w:rsidR="007A0064" w:rsidRPr="002A1EDD" w:rsidRDefault="007A0064" w:rsidP="007A0064">
            <w:pPr>
              <w:jc w:val="right"/>
              <w:rPr>
                <w:b/>
                <w:bCs/>
                <w:color w:val="000000" w:themeColor="text1"/>
                <w:sz w:val="20"/>
                <w:szCs w:val="20"/>
              </w:rPr>
            </w:pPr>
            <w:r w:rsidRPr="002A1EDD">
              <w:rPr>
                <w:color w:val="000000" w:themeColor="text1"/>
                <w:sz w:val="20"/>
                <w:szCs w:val="20"/>
              </w:rPr>
              <w:t>495.000</w:t>
            </w:r>
          </w:p>
        </w:tc>
        <w:tc>
          <w:tcPr>
            <w:tcW w:w="1215" w:type="dxa"/>
            <w:tcBorders>
              <w:top w:val="nil"/>
              <w:left w:val="nil"/>
              <w:bottom w:val="single" w:sz="4" w:space="0" w:color="auto"/>
              <w:right w:val="single" w:sz="4" w:space="0" w:color="auto"/>
            </w:tcBorders>
            <w:shd w:val="clear" w:color="auto" w:fill="auto"/>
            <w:vAlign w:val="center"/>
          </w:tcPr>
          <w:p w14:paraId="4763BB0D" w14:textId="77777777" w:rsidR="007A0064" w:rsidRPr="002A1EDD" w:rsidRDefault="007A0064" w:rsidP="000A01E4">
            <w:pPr>
              <w:jc w:val="center"/>
              <w:rPr>
                <w:b/>
                <w:bCs/>
                <w:color w:val="000000" w:themeColor="text1"/>
                <w:sz w:val="20"/>
                <w:szCs w:val="20"/>
              </w:rPr>
            </w:pPr>
            <w:r w:rsidRPr="002A1EDD">
              <w:rPr>
                <w:color w:val="000000" w:themeColor="text1"/>
                <w:sz w:val="20"/>
                <w:szCs w:val="20"/>
              </w:rPr>
              <w:t>64,06</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580BB26B" w14:textId="77777777" w:rsidR="007A0064" w:rsidRPr="002A1EDD" w:rsidRDefault="007A0064" w:rsidP="007A0064">
            <w:pPr>
              <w:jc w:val="right"/>
              <w:rPr>
                <w:color w:val="000000" w:themeColor="text1"/>
                <w:sz w:val="20"/>
                <w:szCs w:val="20"/>
              </w:rPr>
            </w:pPr>
            <w:r w:rsidRPr="002A1EDD">
              <w:rPr>
                <w:color w:val="000000" w:themeColor="text1"/>
                <w:sz w:val="20"/>
                <w:szCs w:val="20"/>
              </w:rPr>
              <w:t>72.000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53C8A4C3" w14:textId="77777777" w:rsidR="007A0064" w:rsidRPr="002A1EDD" w:rsidRDefault="007A0064" w:rsidP="007A0064">
            <w:pPr>
              <w:jc w:val="right"/>
              <w:rPr>
                <w:color w:val="000000" w:themeColor="text1"/>
                <w:sz w:val="20"/>
                <w:szCs w:val="20"/>
              </w:rPr>
            </w:pPr>
            <w:r w:rsidRPr="002A1EDD">
              <w:rPr>
                <w:color w:val="000000" w:themeColor="text1"/>
                <w:sz w:val="20"/>
                <w:szCs w:val="20"/>
              </w:rPr>
              <w:t>72.000</w:t>
            </w:r>
          </w:p>
        </w:tc>
      </w:tr>
      <w:tr w:rsidR="002A1EDD" w:rsidRPr="002A1EDD" w14:paraId="5E47CF5B" w14:textId="77777777" w:rsidTr="00B47FC9">
        <w:trPr>
          <w:trHeight w:val="264"/>
          <w:jc w:val="center"/>
        </w:trPr>
        <w:tc>
          <w:tcPr>
            <w:tcW w:w="3877" w:type="dxa"/>
            <w:shd w:val="clear" w:color="auto" w:fill="auto"/>
            <w:vAlign w:val="center"/>
            <w:hideMark/>
          </w:tcPr>
          <w:p w14:paraId="7E422CAC" w14:textId="77777777" w:rsidR="00C03098" w:rsidRPr="002A1EDD" w:rsidRDefault="00052A0C" w:rsidP="00AE4422">
            <w:pPr>
              <w:ind w:left="360"/>
              <w:rPr>
                <w:b/>
                <w:bCs/>
                <w:color w:val="000000" w:themeColor="text1"/>
                <w:sz w:val="22"/>
                <w:szCs w:val="22"/>
              </w:rPr>
            </w:pPr>
            <w:r w:rsidRPr="002A1EDD">
              <w:rPr>
                <w:b/>
                <w:bCs/>
                <w:color w:val="000000" w:themeColor="text1"/>
                <w:sz w:val="22"/>
                <w:szCs w:val="22"/>
              </w:rPr>
              <w:t>1</w:t>
            </w:r>
            <w:r w:rsidR="00AE4422" w:rsidRPr="002A1EDD">
              <w:rPr>
                <w:b/>
                <w:bCs/>
                <w:color w:val="000000" w:themeColor="text1"/>
                <w:sz w:val="22"/>
                <w:szCs w:val="22"/>
              </w:rPr>
              <w:t>.C</w:t>
            </w:r>
            <w:r w:rsidRPr="002A1EDD">
              <w:rPr>
                <w:b/>
                <w:bCs/>
                <w:color w:val="000000" w:themeColor="text1"/>
                <w:sz w:val="22"/>
                <w:szCs w:val="22"/>
              </w:rPr>
              <w:t xml:space="preserve">. </w:t>
            </w:r>
            <w:r w:rsidR="00C03098" w:rsidRPr="002A1EDD">
              <w:rPr>
                <w:b/>
                <w:bCs/>
                <w:color w:val="000000" w:themeColor="text1"/>
                <w:sz w:val="22"/>
                <w:szCs w:val="22"/>
              </w:rPr>
              <w:t>PRIHODI OD IMOVINE (64)</w:t>
            </w:r>
          </w:p>
        </w:tc>
        <w:tc>
          <w:tcPr>
            <w:tcW w:w="1306" w:type="dxa"/>
            <w:shd w:val="clear" w:color="auto" w:fill="auto"/>
            <w:vAlign w:val="center"/>
            <w:hideMark/>
          </w:tcPr>
          <w:p w14:paraId="4BB8BC3E" w14:textId="77777777" w:rsidR="00C03098" w:rsidRPr="002A1EDD" w:rsidRDefault="00647892" w:rsidP="00C03098">
            <w:pPr>
              <w:jc w:val="right"/>
              <w:rPr>
                <w:b/>
                <w:bCs/>
                <w:color w:val="000000" w:themeColor="text1"/>
                <w:sz w:val="22"/>
                <w:szCs w:val="22"/>
              </w:rPr>
            </w:pPr>
            <w:r w:rsidRPr="002A1EDD">
              <w:rPr>
                <w:b/>
                <w:bCs/>
                <w:color w:val="000000" w:themeColor="text1"/>
                <w:sz w:val="22"/>
                <w:szCs w:val="22"/>
              </w:rPr>
              <w:t>1.991.250</w:t>
            </w:r>
          </w:p>
        </w:tc>
        <w:tc>
          <w:tcPr>
            <w:tcW w:w="1306" w:type="dxa"/>
            <w:shd w:val="clear" w:color="auto" w:fill="auto"/>
            <w:vAlign w:val="center"/>
            <w:hideMark/>
          </w:tcPr>
          <w:p w14:paraId="091A76CF" w14:textId="77777777" w:rsidR="00C03098" w:rsidRPr="002A1EDD" w:rsidRDefault="00647892" w:rsidP="00C03098">
            <w:pPr>
              <w:jc w:val="right"/>
              <w:rPr>
                <w:b/>
                <w:bCs/>
                <w:color w:val="000000" w:themeColor="text1"/>
                <w:sz w:val="22"/>
                <w:szCs w:val="22"/>
              </w:rPr>
            </w:pPr>
            <w:r w:rsidRPr="002A1EDD">
              <w:rPr>
                <w:b/>
                <w:bCs/>
                <w:color w:val="000000" w:themeColor="text1"/>
                <w:sz w:val="22"/>
                <w:szCs w:val="22"/>
              </w:rPr>
              <w:t>2.071.000</w:t>
            </w:r>
          </w:p>
        </w:tc>
        <w:tc>
          <w:tcPr>
            <w:tcW w:w="1215" w:type="dxa"/>
            <w:shd w:val="clear" w:color="auto" w:fill="auto"/>
            <w:vAlign w:val="center"/>
            <w:hideMark/>
          </w:tcPr>
          <w:p w14:paraId="574CA655" w14:textId="77777777" w:rsidR="00C03098" w:rsidRPr="002A1EDD" w:rsidRDefault="000A01E4" w:rsidP="000A01E4">
            <w:pPr>
              <w:jc w:val="center"/>
              <w:rPr>
                <w:b/>
                <w:bCs/>
                <w:color w:val="000000" w:themeColor="text1"/>
                <w:sz w:val="22"/>
                <w:szCs w:val="22"/>
              </w:rPr>
            </w:pPr>
            <w:r w:rsidRPr="002A1EDD">
              <w:rPr>
                <w:b/>
                <w:bCs/>
                <w:color w:val="000000" w:themeColor="text1"/>
                <w:sz w:val="22"/>
                <w:szCs w:val="22"/>
              </w:rPr>
              <w:t>104,00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296017E" w14:textId="77777777" w:rsidR="00C03098" w:rsidRPr="002A1EDD" w:rsidRDefault="00647892" w:rsidP="00C03098">
            <w:pPr>
              <w:jc w:val="right"/>
              <w:rPr>
                <w:b/>
                <w:bCs/>
                <w:color w:val="000000" w:themeColor="text1"/>
                <w:sz w:val="22"/>
                <w:szCs w:val="22"/>
              </w:rPr>
            </w:pPr>
            <w:r w:rsidRPr="002A1EDD">
              <w:rPr>
                <w:b/>
                <w:bCs/>
                <w:color w:val="000000" w:themeColor="text1"/>
                <w:sz w:val="22"/>
                <w:szCs w:val="22"/>
              </w:rPr>
              <w:t>2.194</w:t>
            </w:r>
            <w:r w:rsidR="00C03098" w:rsidRPr="002A1EDD">
              <w:rPr>
                <w:b/>
                <w:bCs/>
                <w:color w:val="000000" w:themeColor="text1"/>
                <w:sz w:val="22"/>
                <w:szCs w:val="22"/>
              </w:rPr>
              <w:t>.500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FC406DB" w14:textId="77777777" w:rsidR="00C03098" w:rsidRPr="002A1EDD" w:rsidRDefault="00647892" w:rsidP="00C03098">
            <w:pPr>
              <w:jc w:val="right"/>
              <w:rPr>
                <w:b/>
                <w:bCs/>
                <w:color w:val="000000" w:themeColor="text1"/>
                <w:sz w:val="22"/>
                <w:szCs w:val="22"/>
              </w:rPr>
            </w:pPr>
            <w:r w:rsidRPr="002A1EDD">
              <w:rPr>
                <w:b/>
                <w:bCs/>
                <w:color w:val="000000" w:themeColor="text1"/>
                <w:sz w:val="22"/>
                <w:szCs w:val="22"/>
              </w:rPr>
              <w:t>2.19</w:t>
            </w:r>
            <w:r w:rsidR="00C03098" w:rsidRPr="002A1EDD">
              <w:rPr>
                <w:b/>
                <w:bCs/>
                <w:color w:val="000000" w:themeColor="text1"/>
                <w:sz w:val="22"/>
                <w:szCs w:val="22"/>
              </w:rPr>
              <w:t>4.500</w:t>
            </w:r>
          </w:p>
        </w:tc>
      </w:tr>
      <w:tr w:rsidR="002A1EDD" w:rsidRPr="002A1EDD" w14:paraId="00B6F915" w14:textId="77777777" w:rsidTr="003C150F">
        <w:trPr>
          <w:trHeight w:val="264"/>
          <w:jc w:val="center"/>
        </w:trPr>
        <w:tc>
          <w:tcPr>
            <w:tcW w:w="3877" w:type="dxa"/>
            <w:shd w:val="clear" w:color="auto" w:fill="auto"/>
            <w:vAlign w:val="center"/>
            <w:hideMark/>
          </w:tcPr>
          <w:p w14:paraId="03EAC10F" w14:textId="77777777" w:rsidR="00C03098" w:rsidRPr="002A1EDD" w:rsidRDefault="00C03098" w:rsidP="00C03098">
            <w:pPr>
              <w:jc w:val="right"/>
              <w:rPr>
                <w:color w:val="000000" w:themeColor="text1"/>
                <w:sz w:val="20"/>
                <w:szCs w:val="20"/>
              </w:rPr>
            </w:pPr>
            <w:r w:rsidRPr="002A1EDD">
              <w:rPr>
                <w:color w:val="000000" w:themeColor="text1"/>
                <w:sz w:val="20"/>
                <w:szCs w:val="20"/>
              </w:rPr>
              <w:t>Prihodi od fin.</w:t>
            </w:r>
            <w:r w:rsidR="00335946" w:rsidRPr="002A1EDD">
              <w:rPr>
                <w:color w:val="000000" w:themeColor="text1"/>
                <w:sz w:val="20"/>
                <w:szCs w:val="20"/>
              </w:rPr>
              <w:t xml:space="preserve"> </w:t>
            </w:r>
            <w:r w:rsidRPr="002A1EDD">
              <w:rPr>
                <w:color w:val="000000" w:themeColor="text1"/>
                <w:sz w:val="20"/>
                <w:szCs w:val="20"/>
              </w:rPr>
              <w:t xml:space="preserve">imovine (Kamate-zatezne i  </w:t>
            </w:r>
            <w:proofErr w:type="spellStart"/>
            <w:r w:rsidRPr="002A1EDD">
              <w:rPr>
                <w:color w:val="000000" w:themeColor="text1"/>
                <w:sz w:val="20"/>
                <w:szCs w:val="20"/>
              </w:rPr>
              <w:t>oročenja</w:t>
            </w:r>
            <w:proofErr w:type="spellEnd"/>
            <w:r w:rsidRPr="002A1EDD">
              <w:rPr>
                <w:color w:val="000000" w:themeColor="text1"/>
                <w:sz w:val="20"/>
                <w:szCs w:val="20"/>
              </w:rPr>
              <w:t>)</w:t>
            </w:r>
          </w:p>
        </w:tc>
        <w:tc>
          <w:tcPr>
            <w:tcW w:w="1306" w:type="dxa"/>
            <w:shd w:val="clear" w:color="auto" w:fill="auto"/>
            <w:vAlign w:val="center"/>
            <w:hideMark/>
          </w:tcPr>
          <w:p w14:paraId="5FFD1E9C" w14:textId="77777777" w:rsidR="00C03098" w:rsidRPr="002A1EDD" w:rsidRDefault="00647892" w:rsidP="00C03098">
            <w:pPr>
              <w:jc w:val="right"/>
              <w:rPr>
                <w:color w:val="000000" w:themeColor="text1"/>
                <w:sz w:val="20"/>
                <w:szCs w:val="20"/>
              </w:rPr>
            </w:pPr>
            <w:r w:rsidRPr="002A1EDD">
              <w:rPr>
                <w:color w:val="000000" w:themeColor="text1"/>
                <w:sz w:val="20"/>
                <w:szCs w:val="20"/>
              </w:rPr>
              <w:t>50.250</w:t>
            </w:r>
          </w:p>
        </w:tc>
        <w:tc>
          <w:tcPr>
            <w:tcW w:w="1306" w:type="dxa"/>
            <w:shd w:val="clear" w:color="auto" w:fill="auto"/>
            <w:vAlign w:val="center"/>
            <w:hideMark/>
          </w:tcPr>
          <w:p w14:paraId="0C8C2F6D" w14:textId="77777777" w:rsidR="00C03098" w:rsidRPr="002A1EDD" w:rsidRDefault="00647892" w:rsidP="00647892">
            <w:pPr>
              <w:jc w:val="right"/>
              <w:rPr>
                <w:color w:val="000000" w:themeColor="text1"/>
                <w:sz w:val="20"/>
                <w:szCs w:val="20"/>
              </w:rPr>
            </w:pPr>
            <w:r w:rsidRPr="002A1EDD">
              <w:rPr>
                <w:color w:val="000000" w:themeColor="text1"/>
                <w:sz w:val="20"/>
                <w:szCs w:val="20"/>
              </w:rPr>
              <w:t>50.000</w:t>
            </w:r>
          </w:p>
        </w:tc>
        <w:tc>
          <w:tcPr>
            <w:tcW w:w="1215" w:type="dxa"/>
            <w:shd w:val="clear" w:color="auto" w:fill="auto"/>
            <w:vAlign w:val="center"/>
            <w:hideMark/>
          </w:tcPr>
          <w:p w14:paraId="79041986" w14:textId="77777777" w:rsidR="00C03098" w:rsidRPr="002A1EDD" w:rsidRDefault="000A01E4" w:rsidP="000A01E4">
            <w:pPr>
              <w:jc w:val="center"/>
              <w:rPr>
                <w:color w:val="000000" w:themeColor="text1"/>
                <w:sz w:val="20"/>
                <w:szCs w:val="20"/>
              </w:rPr>
            </w:pPr>
            <w:r w:rsidRPr="002A1EDD">
              <w:rPr>
                <w:color w:val="000000" w:themeColor="text1"/>
                <w:sz w:val="20"/>
                <w:szCs w:val="20"/>
              </w:rPr>
              <w:t>99,50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2D541AF9" w14:textId="77777777" w:rsidR="00C03098" w:rsidRPr="002A1EDD" w:rsidRDefault="00C03098" w:rsidP="00C03098">
            <w:pPr>
              <w:jc w:val="right"/>
              <w:rPr>
                <w:color w:val="000000" w:themeColor="text1"/>
                <w:sz w:val="20"/>
                <w:szCs w:val="20"/>
              </w:rPr>
            </w:pPr>
            <w:r w:rsidRPr="002A1EDD">
              <w:rPr>
                <w:color w:val="000000" w:themeColor="text1"/>
                <w:sz w:val="20"/>
                <w:szCs w:val="20"/>
              </w:rPr>
              <w:t>50.000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0E9B8E83" w14:textId="77777777" w:rsidR="00C03098" w:rsidRPr="002A1EDD" w:rsidRDefault="00C03098" w:rsidP="00C03098">
            <w:pPr>
              <w:jc w:val="right"/>
              <w:rPr>
                <w:color w:val="000000" w:themeColor="text1"/>
                <w:sz w:val="20"/>
                <w:szCs w:val="20"/>
              </w:rPr>
            </w:pPr>
            <w:r w:rsidRPr="002A1EDD">
              <w:rPr>
                <w:color w:val="000000" w:themeColor="text1"/>
                <w:sz w:val="20"/>
                <w:szCs w:val="20"/>
              </w:rPr>
              <w:t>50.000</w:t>
            </w:r>
          </w:p>
        </w:tc>
      </w:tr>
      <w:tr w:rsidR="002A1EDD" w:rsidRPr="002A1EDD" w14:paraId="01D7CC1B" w14:textId="77777777" w:rsidTr="003C150F">
        <w:trPr>
          <w:trHeight w:val="264"/>
          <w:jc w:val="center"/>
        </w:trPr>
        <w:tc>
          <w:tcPr>
            <w:tcW w:w="3877" w:type="dxa"/>
            <w:shd w:val="clear" w:color="auto" w:fill="auto"/>
            <w:vAlign w:val="center"/>
            <w:hideMark/>
          </w:tcPr>
          <w:p w14:paraId="067E44AB" w14:textId="77777777" w:rsidR="00C03098" w:rsidRPr="002A1EDD" w:rsidRDefault="00C03098" w:rsidP="00C03098">
            <w:pPr>
              <w:jc w:val="right"/>
              <w:rPr>
                <w:color w:val="000000" w:themeColor="text1"/>
                <w:sz w:val="20"/>
                <w:szCs w:val="20"/>
              </w:rPr>
            </w:pPr>
            <w:r w:rsidRPr="002A1EDD">
              <w:rPr>
                <w:color w:val="000000" w:themeColor="text1"/>
                <w:sz w:val="20"/>
                <w:szCs w:val="20"/>
              </w:rPr>
              <w:t>Koncesije</w:t>
            </w:r>
          </w:p>
        </w:tc>
        <w:tc>
          <w:tcPr>
            <w:tcW w:w="1306" w:type="dxa"/>
            <w:shd w:val="clear" w:color="auto" w:fill="auto"/>
            <w:vAlign w:val="center"/>
            <w:hideMark/>
          </w:tcPr>
          <w:p w14:paraId="351D03C7" w14:textId="77777777" w:rsidR="00C03098" w:rsidRPr="002A1EDD" w:rsidRDefault="00647892" w:rsidP="00C03098">
            <w:pPr>
              <w:jc w:val="right"/>
              <w:rPr>
                <w:color w:val="000000" w:themeColor="text1"/>
                <w:sz w:val="20"/>
                <w:szCs w:val="20"/>
              </w:rPr>
            </w:pPr>
            <w:r w:rsidRPr="002A1EDD">
              <w:rPr>
                <w:color w:val="000000" w:themeColor="text1"/>
                <w:sz w:val="20"/>
                <w:szCs w:val="20"/>
              </w:rPr>
              <w:t>5.000</w:t>
            </w:r>
          </w:p>
        </w:tc>
        <w:tc>
          <w:tcPr>
            <w:tcW w:w="1306" w:type="dxa"/>
            <w:shd w:val="clear" w:color="auto" w:fill="auto"/>
            <w:vAlign w:val="center"/>
            <w:hideMark/>
          </w:tcPr>
          <w:p w14:paraId="3526BC59" w14:textId="77777777" w:rsidR="00C03098" w:rsidRPr="002A1EDD" w:rsidRDefault="00647892" w:rsidP="00C03098">
            <w:pPr>
              <w:jc w:val="right"/>
              <w:rPr>
                <w:color w:val="000000" w:themeColor="text1"/>
                <w:sz w:val="20"/>
                <w:szCs w:val="20"/>
              </w:rPr>
            </w:pPr>
            <w:r w:rsidRPr="002A1EDD">
              <w:rPr>
                <w:color w:val="000000" w:themeColor="text1"/>
                <w:sz w:val="20"/>
                <w:szCs w:val="20"/>
              </w:rPr>
              <w:t>100.000</w:t>
            </w:r>
          </w:p>
        </w:tc>
        <w:tc>
          <w:tcPr>
            <w:tcW w:w="1215" w:type="dxa"/>
            <w:shd w:val="clear" w:color="auto" w:fill="auto"/>
            <w:vAlign w:val="center"/>
            <w:hideMark/>
          </w:tcPr>
          <w:p w14:paraId="2A146EB9" w14:textId="77777777" w:rsidR="00C03098" w:rsidRPr="002A1EDD" w:rsidRDefault="000A01E4" w:rsidP="000A01E4">
            <w:pPr>
              <w:jc w:val="center"/>
              <w:rPr>
                <w:color w:val="000000" w:themeColor="text1"/>
                <w:sz w:val="20"/>
                <w:szCs w:val="20"/>
              </w:rPr>
            </w:pPr>
            <w:r w:rsidRPr="002A1EDD">
              <w:rPr>
                <w:color w:val="000000" w:themeColor="text1"/>
                <w:sz w:val="20"/>
                <w:szCs w:val="20"/>
              </w:rPr>
              <w:t>2.000,00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6CE87CDE" w14:textId="77777777" w:rsidR="00C03098" w:rsidRPr="002A1EDD" w:rsidRDefault="00C03098" w:rsidP="00C03098">
            <w:pPr>
              <w:jc w:val="right"/>
              <w:rPr>
                <w:color w:val="000000" w:themeColor="text1"/>
                <w:sz w:val="20"/>
                <w:szCs w:val="20"/>
              </w:rPr>
            </w:pPr>
            <w:r w:rsidRPr="002A1EDD">
              <w:rPr>
                <w:color w:val="000000" w:themeColor="text1"/>
                <w:sz w:val="20"/>
                <w:szCs w:val="20"/>
              </w:rPr>
              <w:t>50.000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2E0B480C" w14:textId="77777777" w:rsidR="00C03098" w:rsidRPr="002A1EDD" w:rsidRDefault="00C03098" w:rsidP="00C03098">
            <w:pPr>
              <w:jc w:val="right"/>
              <w:rPr>
                <w:color w:val="000000" w:themeColor="text1"/>
                <w:sz w:val="20"/>
                <w:szCs w:val="20"/>
              </w:rPr>
            </w:pPr>
            <w:r w:rsidRPr="002A1EDD">
              <w:rPr>
                <w:color w:val="000000" w:themeColor="text1"/>
                <w:sz w:val="20"/>
                <w:szCs w:val="20"/>
              </w:rPr>
              <w:t>50.000</w:t>
            </w:r>
          </w:p>
        </w:tc>
      </w:tr>
      <w:tr w:rsidR="002A1EDD" w:rsidRPr="002A1EDD" w14:paraId="777E04F4" w14:textId="77777777" w:rsidTr="003C150F">
        <w:trPr>
          <w:trHeight w:val="399"/>
          <w:jc w:val="center"/>
        </w:trPr>
        <w:tc>
          <w:tcPr>
            <w:tcW w:w="3877" w:type="dxa"/>
            <w:shd w:val="clear" w:color="auto" w:fill="auto"/>
            <w:vAlign w:val="center"/>
            <w:hideMark/>
          </w:tcPr>
          <w:p w14:paraId="4EBDCFD2" w14:textId="77777777" w:rsidR="00C03098" w:rsidRPr="002A1EDD" w:rsidRDefault="00C03098" w:rsidP="00C03098">
            <w:pPr>
              <w:jc w:val="right"/>
              <w:rPr>
                <w:color w:val="000000" w:themeColor="text1"/>
                <w:sz w:val="20"/>
                <w:szCs w:val="20"/>
              </w:rPr>
            </w:pPr>
            <w:r w:rsidRPr="002A1EDD">
              <w:rPr>
                <w:color w:val="000000" w:themeColor="text1"/>
                <w:sz w:val="20"/>
                <w:szCs w:val="20"/>
              </w:rPr>
              <w:t>Zakup</w:t>
            </w:r>
          </w:p>
        </w:tc>
        <w:tc>
          <w:tcPr>
            <w:tcW w:w="1306" w:type="dxa"/>
            <w:shd w:val="clear" w:color="auto" w:fill="auto"/>
            <w:vAlign w:val="center"/>
            <w:hideMark/>
          </w:tcPr>
          <w:p w14:paraId="62DA84FB" w14:textId="77777777" w:rsidR="00C03098" w:rsidRPr="002A1EDD" w:rsidRDefault="00647892" w:rsidP="00C03098">
            <w:pPr>
              <w:jc w:val="right"/>
              <w:rPr>
                <w:color w:val="000000" w:themeColor="text1"/>
                <w:sz w:val="20"/>
                <w:szCs w:val="20"/>
              </w:rPr>
            </w:pPr>
            <w:r w:rsidRPr="002A1EDD">
              <w:rPr>
                <w:color w:val="000000" w:themeColor="text1"/>
                <w:sz w:val="20"/>
                <w:szCs w:val="20"/>
              </w:rPr>
              <w:t>1.380.000</w:t>
            </w:r>
          </w:p>
        </w:tc>
        <w:tc>
          <w:tcPr>
            <w:tcW w:w="1306" w:type="dxa"/>
            <w:shd w:val="clear" w:color="auto" w:fill="auto"/>
            <w:vAlign w:val="center"/>
            <w:hideMark/>
          </w:tcPr>
          <w:p w14:paraId="742C6BEB" w14:textId="77777777" w:rsidR="00C03098" w:rsidRPr="002A1EDD" w:rsidRDefault="00647892" w:rsidP="00C03098">
            <w:pPr>
              <w:jc w:val="right"/>
              <w:rPr>
                <w:color w:val="000000" w:themeColor="text1"/>
                <w:sz w:val="20"/>
                <w:szCs w:val="20"/>
              </w:rPr>
            </w:pPr>
            <w:r w:rsidRPr="002A1EDD">
              <w:rPr>
                <w:color w:val="000000" w:themeColor="text1"/>
                <w:sz w:val="20"/>
                <w:szCs w:val="20"/>
              </w:rPr>
              <w:t>1.400.</w:t>
            </w:r>
            <w:r w:rsidR="00C03098" w:rsidRPr="002A1EDD">
              <w:rPr>
                <w:color w:val="000000" w:themeColor="text1"/>
                <w:sz w:val="20"/>
                <w:szCs w:val="20"/>
              </w:rPr>
              <w:t>000</w:t>
            </w:r>
          </w:p>
        </w:tc>
        <w:tc>
          <w:tcPr>
            <w:tcW w:w="1215" w:type="dxa"/>
            <w:shd w:val="clear" w:color="auto" w:fill="auto"/>
            <w:vAlign w:val="center"/>
            <w:hideMark/>
          </w:tcPr>
          <w:p w14:paraId="6735154C" w14:textId="77777777" w:rsidR="00C03098" w:rsidRPr="002A1EDD" w:rsidRDefault="000A01E4" w:rsidP="000A01E4">
            <w:pPr>
              <w:jc w:val="center"/>
              <w:rPr>
                <w:color w:val="000000" w:themeColor="text1"/>
                <w:sz w:val="20"/>
                <w:szCs w:val="20"/>
              </w:rPr>
            </w:pPr>
            <w:r w:rsidRPr="002A1EDD">
              <w:rPr>
                <w:color w:val="000000" w:themeColor="text1"/>
                <w:sz w:val="20"/>
                <w:szCs w:val="20"/>
              </w:rPr>
              <w:t>101,45</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7A7EF96B" w14:textId="77777777" w:rsidR="00C03098" w:rsidRPr="002A1EDD" w:rsidRDefault="00C03098" w:rsidP="00C03098">
            <w:pPr>
              <w:jc w:val="right"/>
              <w:rPr>
                <w:color w:val="000000" w:themeColor="text1"/>
                <w:sz w:val="20"/>
                <w:szCs w:val="20"/>
              </w:rPr>
            </w:pPr>
            <w:r w:rsidRPr="002A1EDD">
              <w:rPr>
                <w:color w:val="000000" w:themeColor="text1"/>
                <w:sz w:val="20"/>
                <w:szCs w:val="20"/>
              </w:rPr>
              <w:t>1.500.000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743384E4" w14:textId="77777777" w:rsidR="00C03098" w:rsidRPr="002A1EDD" w:rsidRDefault="00C03098" w:rsidP="00C03098">
            <w:pPr>
              <w:jc w:val="right"/>
              <w:rPr>
                <w:color w:val="000000" w:themeColor="text1"/>
                <w:sz w:val="20"/>
                <w:szCs w:val="20"/>
              </w:rPr>
            </w:pPr>
            <w:r w:rsidRPr="002A1EDD">
              <w:rPr>
                <w:color w:val="000000" w:themeColor="text1"/>
                <w:sz w:val="20"/>
                <w:szCs w:val="20"/>
              </w:rPr>
              <w:t>1.500.000</w:t>
            </w:r>
          </w:p>
        </w:tc>
      </w:tr>
      <w:tr w:rsidR="002A1EDD" w:rsidRPr="002A1EDD" w14:paraId="19082E5A" w14:textId="77777777" w:rsidTr="003C150F">
        <w:trPr>
          <w:trHeight w:val="264"/>
          <w:jc w:val="center"/>
        </w:trPr>
        <w:tc>
          <w:tcPr>
            <w:tcW w:w="3877" w:type="dxa"/>
            <w:shd w:val="clear" w:color="auto" w:fill="auto"/>
            <w:vAlign w:val="center"/>
            <w:hideMark/>
          </w:tcPr>
          <w:p w14:paraId="3890F4A9" w14:textId="77777777" w:rsidR="00C03098" w:rsidRPr="002A1EDD" w:rsidRDefault="00C03098" w:rsidP="00C03098">
            <w:pPr>
              <w:jc w:val="right"/>
              <w:rPr>
                <w:color w:val="000000" w:themeColor="text1"/>
                <w:sz w:val="20"/>
                <w:szCs w:val="20"/>
              </w:rPr>
            </w:pPr>
            <w:r w:rsidRPr="002A1EDD">
              <w:rPr>
                <w:color w:val="000000" w:themeColor="text1"/>
                <w:sz w:val="20"/>
                <w:szCs w:val="20"/>
              </w:rPr>
              <w:t>Spomenička renta</w:t>
            </w:r>
          </w:p>
        </w:tc>
        <w:tc>
          <w:tcPr>
            <w:tcW w:w="1306" w:type="dxa"/>
            <w:shd w:val="clear" w:color="auto" w:fill="auto"/>
            <w:vAlign w:val="center"/>
            <w:hideMark/>
          </w:tcPr>
          <w:p w14:paraId="2C06C027" w14:textId="77777777" w:rsidR="00C03098" w:rsidRPr="002A1EDD" w:rsidRDefault="00647892" w:rsidP="00C03098">
            <w:pPr>
              <w:jc w:val="right"/>
              <w:rPr>
                <w:color w:val="000000" w:themeColor="text1"/>
                <w:sz w:val="20"/>
                <w:szCs w:val="20"/>
              </w:rPr>
            </w:pPr>
            <w:r w:rsidRPr="002A1EDD">
              <w:rPr>
                <w:color w:val="000000" w:themeColor="text1"/>
                <w:sz w:val="20"/>
                <w:szCs w:val="20"/>
              </w:rPr>
              <w:t>2.000</w:t>
            </w:r>
          </w:p>
        </w:tc>
        <w:tc>
          <w:tcPr>
            <w:tcW w:w="1306" w:type="dxa"/>
            <w:shd w:val="clear" w:color="auto" w:fill="auto"/>
            <w:vAlign w:val="center"/>
            <w:hideMark/>
          </w:tcPr>
          <w:p w14:paraId="1A0659F5" w14:textId="77777777" w:rsidR="00C03098" w:rsidRPr="002A1EDD" w:rsidRDefault="00647892" w:rsidP="00C03098">
            <w:pPr>
              <w:jc w:val="right"/>
              <w:rPr>
                <w:color w:val="000000" w:themeColor="text1"/>
                <w:sz w:val="20"/>
                <w:szCs w:val="20"/>
              </w:rPr>
            </w:pPr>
            <w:r w:rsidRPr="002A1EDD">
              <w:rPr>
                <w:color w:val="000000" w:themeColor="text1"/>
                <w:sz w:val="20"/>
                <w:szCs w:val="20"/>
              </w:rPr>
              <w:t>2.0</w:t>
            </w:r>
            <w:r w:rsidR="00C03098" w:rsidRPr="002A1EDD">
              <w:rPr>
                <w:color w:val="000000" w:themeColor="text1"/>
                <w:sz w:val="20"/>
                <w:szCs w:val="20"/>
              </w:rPr>
              <w:t>00</w:t>
            </w:r>
          </w:p>
        </w:tc>
        <w:tc>
          <w:tcPr>
            <w:tcW w:w="1215" w:type="dxa"/>
            <w:shd w:val="clear" w:color="auto" w:fill="auto"/>
            <w:vAlign w:val="center"/>
            <w:hideMark/>
          </w:tcPr>
          <w:p w14:paraId="00B5D1EB" w14:textId="77777777" w:rsidR="00C03098" w:rsidRPr="002A1EDD" w:rsidRDefault="00C03098" w:rsidP="000A01E4">
            <w:pPr>
              <w:jc w:val="center"/>
              <w:rPr>
                <w:color w:val="000000" w:themeColor="text1"/>
                <w:sz w:val="20"/>
                <w:szCs w:val="20"/>
              </w:rPr>
            </w:pPr>
            <w:r w:rsidRPr="002A1EDD">
              <w:rPr>
                <w:color w:val="000000" w:themeColor="text1"/>
                <w:sz w:val="20"/>
                <w:szCs w:val="20"/>
              </w:rPr>
              <w:t>100</w:t>
            </w:r>
            <w:r w:rsidR="000A01E4" w:rsidRPr="002A1EDD">
              <w:rPr>
                <w:color w:val="000000" w:themeColor="text1"/>
                <w:sz w:val="20"/>
                <w:szCs w:val="20"/>
              </w:rPr>
              <w:t>,</w:t>
            </w:r>
            <w:r w:rsidRPr="002A1EDD">
              <w:rPr>
                <w:color w:val="000000" w:themeColor="text1"/>
                <w:sz w:val="20"/>
                <w:szCs w:val="20"/>
              </w:rPr>
              <w:t>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5A42C38A" w14:textId="77777777" w:rsidR="00C03098" w:rsidRPr="002A1EDD" w:rsidRDefault="00C03098" w:rsidP="00C03098">
            <w:pPr>
              <w:jc w:val="right"/>
              <w:rPr>
                <w:color w:val="000000" w:themeColor="text1"/>
                <w:sz w:val="20"/>
                <w:szCs w:val="20"/>
              </w:rPr>
            </w:pPr>
            <w:r w:rsidRPr="002A1EDD">
              <w:rPr>
                <w:color w:val="000000" w:themeColor="text1"/>
                <w:sz w:val="20"/>
                <w:szCs w:val="20"/>
              </w:rPr>
              <w:t>4.500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4E54748D" w14:textId="77777777" w:rsidR="00C03098" w:rsidRPr="002A1EDD" w:rsidRDefault="00C03098" w:rsidP="00C03098">
            <w:pPr>
              <w:jc w:val="right"/>
              <w:rPr>
                <w:color w:val="000000" w:themeColor="text1"/>
                <w:sz w:val="20"/>
                <w:szCs w:val="20"/>
              </w:rPr>
            </w:pPr>
            <w:r w:rsidRPr="002A1EDD">
              <w:rPr>
                <w:color w:val="000000" w:themeColor="text1"/>
                <w:sz w:val="20"/>
                <w:szCs w:val="20"/>
              </w:rPr>
              <w:t>4.500</w:t>
            </w:r>
          </w:p>
        </w:tc>
      </w:tr>
      <w:tr w:rsidR="002A1EDD" w:rsidRPr="002A1EDD" w14:paraId="51AE7608" w14:textId="77777777" w:rsidTr="003C150F">
        <w:trPr>
          <w:trHeight w:val="264"/>
          <w:jc w:val="center"/>
        </w:trPr>
        <w:tc>
          <w:tcPr>
            <w:tcW w:w="3877" w:type="dxa"/>
            <w:shd w:val="clear" w:color="auto" w:fill="auto"/>
            <w:vAlign w:val="center"/>
            <w:hideMark/>
          </w:tcPr>
          <w:p w14:paraId="69E6E01A" w14:textId="77777777" w:rsidR="00C03098" w:rsidRPr="002A1EDD" w:rsidRDefault="00C03098" w:rsidP="00D94F4C">
            <w:pPr>
              <w:jc w:val="right"/>
              <w:rPr>
                <w:color w:val="000000" w:themeColor="text1"/>
                <w:sz w:val="20"/>
                <w:szCs w:val="20"/>
              </w:rPr>
            </w:pPr>
            <w:r w:rsidRPr="002A1EDD">
              <w:rPr>
                <w:color w:val="000000" w:themeColor="text1"/>
                <w:sz w:val="20"/>
                <w:szCs w:val="20"/>
              </w:rPr>
              <w:t>Ostali prihodi - nakn.za leg.obj.</w:t>
            </w:r>
          </w:p>
        </w:tc>
        <w:tc>
          <w:tcPr>
            <w:tcW w:w="1306" w:type="dxa"/>
            <w:shd w:val="clear" w:color="auto" w:fill="auto"/>
            <w:vAlign w:val="center"/>
            <w:hideMark/>
          </w:tcPr>
          <w:p w14:paraId="59302221" w14:textId="77777777" w:rsidR="00C03098" w:rsidRPr="002A1EDD" w:rsidRDefault="00647892" w:rsidP="00647892">
            <w:pPr>
              <w:jc w:val="right"/>
              <w:rPr>
                <w:color w:val="000000" w:themeColor="text1"/>
                <w:sz w:val="20"/>
                <w:szCs w:val="20"/>
              </w:rPr>
            </w:pPr>
            <w:r w:rsidRPr="002A1EDD">
              <w:rPr>
                <w:color w:val="000000" w:themeColor="text1"/>
                <w:sz w:val="20"/>
                <w:szCs w:val="20"/>
              </w:rPr>
              <w:t>85.</w:t>
            </w:r>
            <w:r w:rsidR="00C03098" w:rsidRPr="002A1EDD">
              <w:rPr>
                <w:color w:val="000000" w:themeColor="text1"/>
                <w:sz w:val="20"/>
                <w:szCs w:val="20"/>
              </w:rPr>
              <w:t>000</w:t>
            </w:r>
          </w:p>
        </w:tc>
        <w:tc>
          <w:tcPr>
            <w:tcW w:w="1306" w:type="dxa"/>
            <w:shd w:val="clear" w:color="auto" w:fill="auto"/>
            <w:vAlign w:val="center"/>
            <w:hideMark/>
          </w:tcPr>
          <w:p w14:paraId="269A4047" w14:textId="77777777" w:rsidR="00C03098" w:rsidRPr="002A1EDD" w:rsidRDefault="00647892" w:rsidP="00C03098">
            <w:pPr>
              <w:jc w:val="right"/>
              <w:rPr>
                <w:color w:val="000000" w:themeColor="text1"/>
                <w:sz w:val="20"/>
                <w:szCs w:val="20"/>
              </w:rPr>
            </w:pPr>
            <w:r w:rsidRPr="002A1EDD">
              <w:rPr>
                <w:color w:val="000000" w:themeColor="text1"/>
                <w:sz w:val="20"/>
                <w:szCs w:val="20"/>
              </w:rPr>
              <w:t>50.</w:t>
            </w:r>
            <w:r w:rsidR="00C03098" w:rsidRPr="002A1EDD">
              <w:rPr>
                <w:color w:val="000000" w:themeColor="text1"/>
                <w:sz w:val="20"/>
                <w:szCs w:val="20"/>
              </w:rPr>
              <w:t>000</w:t>
            </w:r>
          </w:p>
        </w:tc>
        <w:tc>
          <w:tcPr>
            <w:tcW w:w="1215" w:type="dxa"/>
            <w:shd w:val="clear" w:color="auto" w:fill="auto"/>
            <w:vAlign w:val="center"/>
            <w:hideMark/>
          </w:tcPr>
          <w:p w14:paraId="06A0BA0A" w14:textId="77777777" w:rsidR="00C03098" w:rsidRPr="002A1EDD" w:rsidRDefault="000A01E4" w:rsidP="000A01E4">
            <w:pPr>
              <w:jc w:val="center"/>
              <w:rPr>
                <w:color w:val="000000" w:themeColor="text1"/>
                <w:sz w:val="20"/>
                <w:szCs w:val="20"/>
              </w:rPr>
            </w:pPr>
            <w:r w:rsidRPr="002A1EDD">
              <w:rPr>
                <w:color w:val="000000" w:themeColor="text1"/>
                <w:sz w:val="20"/>
                <w:szCs w:val="20"/>
              </w:rPr>
              <w:t>58,82</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5F0DC7BB" w14:textId="77777777" w:rsidR="00C03098" w:rsidRPr="002A1EDD" w:rsidRDefault="00C03098" w:rsidP="00C03098">
            <w:pPr>
              <w:jc w:val="right"/>
              <w:rPr>
                <w:color w:val="000000" w:themeColor="text1"/>
                <w:sz w:val="20"/>
                <w:szCs w:val="20"/>
              </w:rPr>
            </w:pPr>
            <w:r w:rsidRPr="002A1EDD">
              <w:rPr>
                <w:color w:val="000000" w:themeColor="text1"/>
                <w:sz w:val="20"/>
                <w:szCs w:val="20"/>
              </w:rPr>
              <w:t>50.000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2EB43052" w14:textId="77777777" w:rsidR="00C03098" w:rsidRPr="002A1EDD" w:rsidRDefault="00C03098" w:rsidP="00C03098">
            <w:pPr>
              <w:jc w:val="right"/>
              <w:rPr>
                <w:color w:val="000000" w:themeColor="text1"/>
                <w:sz w:val="20"/>
                <w:szCs w:val="20"/>
              </w:rPr>
            </w:pPr>
            <w:r w:rsidRPr="002A1EDD">
              <w:rPr>
                <w:color w:val="000000" w:themeColor="text1"/>
                <w:sz w:val="20"/>
                <w:szCs w:val="20"/>
              </w:rPr>
              <w:t>50.000</w:t>
            </w:r>
          </w:p>
        </w:tc>
      </w:tr>
      <w:tr w:rsidR="002A1EDD" w:rsidRPr="002A1EDD" w14:paraId="26B3E215" w14:textId="77777777" w:rsidTr="003C150F">
        <w:trPr>
          <w:trHeight w:val="264"/>
          <w:jc w:val="center"/>
        </w:trPr>
        <w:tc>
          <w:tcPr>
            <w:tcW w:w="3877" w:type="dxa"/>
            <w:shd w:val="clear" w:color="auto" w:fill="auto"/>
            <w:vAlign w:val="center"/>
            <w:hideMark/>
          </w:tcPr>
          <w:p w14:paraId="2CF2EC3F" w14:textId="77777777" w:rsidR="00C03098" w:rsidRPr="002A1EDD" w:rsidRDefault="00C03098" w:rsidP="00C03098">
            <w:pPr>
              <w:jc w:val="right"/>
              <w:rPr>
                <w:color w:val="000000" w:themeColor="text1"/>
                <w:sz w:val="20"/>
                <w:szCs w:val="20"/>
              </w:rPr>
            </w:pPr>
            <w:r w:rsidRPr="002A1EDD">
              <w:rPr>
                <w:color w:val="000000" w:themeColor="text1"/>
                <w:sz w:val="20"/>
                <w:szCs w:val="20"/>
              </w:rPr>
              <w:lastRenderedPageBreak/>
              <w:t>Naknada za korištenje zemljišta -telekomunikacijska infrastruktura</w:t>
            </w:r>
          </w:p>
        </w:tc>
        <w:tc>
          <w:tcPr>
            <w:tcW w:w="1306" w:type="dxa"/>
            <w:shd w:val="clear" w:color="auto" w:fill="auto"/>
            <w:vAlign w:val="center"/>
            <w:hideMark/>
          </w:tcPr>
          <w:p w14:paraId="7E5DF078" w14:textId="77777777" w:rsidR="00C03098" w:rsidRPr="002A1EDD" w:rsidRDefault="00647892" w:rsidP="00C03098">
            <w:pPr>
              <w:jc w:val="right"/>
              <w:rPr>
                <w:color w:val="000000" w:themeColor="text1"/>
                <w:sz w:val="20"/>
                <w:szCs w:val="20"/>
              </w:rPr>
            </w:pPr>
            <w:r w:rsidRPr="002A1EDD">
              <w:rPr>
                <w:color w:val="000000" w:themeColor="text1"/>
                <w:sz w:val="20"/>
                <w:szCs w:val="20"/>
              </w:rPr>
              <w:t>350.000</w:t>
            </w:r>
          </w:p>
        </w:tc>
        <w:tc>
          <w:tcPr>
            <w:tcW w:w="1306" w:type="dxa"/>
            <w:shd w:val="clear" w:color="auto" w:fill="auto"/>
            <w:vAlign w:val="center"/>
            <w:hideMark/>
          </w:tcPr>
          <w:p w14:paraId="74DF25A6" w14:textId="77777777" w:rsidR="00C03098" w:rsidRPr="002A1EDD" w:rsidRDefault="00647892" w:rsidP="00C03098">
            <w:pPr>
              <w:jc w:val="right"/>
              <w:rPr>
                <w:color w:val="000000" w:themeColor="text1"/>
                <w:sz w:val="20"/>
                <w:szCs w:val="20"/>
              </w:rPr>
            </w:pPr>
            <w:r w:rsidRPr="002A1EDD">
              <w:rPr>
                <w:color w:val="000000" w:themeColor="text1"/>
                <w:sz w:val="20"/>
                <w:szCs w:val="20"/>
              </w:rPr>
              <w:t>350.</w:t>
            </w:r>
            <w:r w:rsidR="00C03098" w:rsidRPr="002A1EDD">
              <w:rPr>
                <w:color w:val="000000" w:themeColor="text1"/>
                <w:sz w:val="20"/>
                <w:szCs w:val="20"/>
              </w:rPr>
              <w:t>000</w:t>
            </w:r>
          </w:p>
        </w:tc>
        <w:tc>
          <w:tcPr>
            <w:tcW w:w="1215" w:type="dxa"/>
            <w:shd w:val="clear" w:color="auto" w:fill="auto"/>
            <w:vAlign w:val="center"/>
            <w:hideMark/>
          </w:tcPr>
          <w:p w14:paraId="2FB44D76" w14:textId="77777777" w:rsidR="00C03098" w:rsidRPr="002A1EDD" w:rsidRDefault="000A01E4" w:rsidP="000A01E4">
            <w:pPr>
              <w:jc w:val="center"/>
              <w:rPr>
                <w:color w:val="000000" w:themeColor="text1"/>
                <w:sz w:val="20"/>
                <w:szCs w:val="20"/>
              </w:rPr>
            </w:pPr>
            <w:r w:rsidRPr="002A1EDD">
              <w:rPr>
                <w:color w:val="000000" w:themeColor="text1"/>
                <w:sz w:val="20"/>
                <w:szCs w:val="20"/>
              </w:rPr>
              <w:t>100,00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330C80F5" w14:textId="77777777" w:rsidR="00C03098" w:rsidRPr="002A1EDD" w:rsidRDefault="00C03098" w:rsidP="00C03098">
            <w:pPr>
              <w:jc w:val="right"/>
              <w:rPr>
                <w:color w:val="000000" w:themeColor="text1"/>
                <w:sz w:val="20"/>
                <w:szCs w:val="20"/>
              </w:rPr>
            </w:pPr>
            <w:r w:rsidRPr="002A1EDD">
              <w:rPr>
                <w:color w:val="000000" w:themeColor="text1"/>
                <w:sz w:val="20"/>
                <w:szCs w:val="20"/>
              </w:rPr>
              <w:t>300.000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01BC0FB9" w14:textId="77777777" w:rsidR="00C03098" w:rsidRPr="002A1EDD" w:rsidRDefault="00C03098" w:rsidP="00C03098">
            <w:pPr>
              <w:jc w:val="right"/>
              <w:rPr>
                <w:color w:val="000000" w:themeColor="text1"/>
                <w:sz w:val="20"/>
                <w:szCs w:val="20"/>
              </w:rPr>
            </w:pPr>
            <w:r w:rsidRPr="002A1EDD">
              <w:rPr>
                <w:color w:val="000000" w:themeColor="text1"/>
                <w:sz w:val="20"/>
                <w:szCs w:val="20"/>
              </w:rPr>
              <w:t>300.000</w:t>
            </w:r>
          </w:p>
        </w:tc>
      </w:tr>
      <w:tr w:rsidR="002A1EDD" w:rsidRPr="002A1EDD" w14:paraId="1BD06195" w14:textId="77777777" w:rsidTr="003C150F">
        <w:trPr>
          <w:trHeight w:val="264"/>
          <w:jc w:val="center"/>
        </w:trPr>
        <w:tc>
          <w:tcPr>
            <w:tcW w:w="3877" w:type="dxa"/>
            <w:shd w:val="clear" w:color="auto" w:fill="auto"/>
            <w:vAlign w:val="center"/>
            <w:hideMark/>
          </w:tcPr>
          <w:p w14:paraId="5DF50A1C" w14:textId="77777777" w:rsidR="00C03098" w:rsidRPr="002A1EDD" w:rsidRDefault="00D94F4C" w:rsidP="00D94F4C">
            <w:pPr>
              <w:jc w:val="right"/>
              <w:rPr>
                <w:color w:val="000000" w:themeColor="text1"/>
                <w:sz w:val="20"/>
                <w:szCs w:val="20"/>
              </w:rPr>
            </w:pPr>
            <w:r w:rsidRPr="002A1EDD">
              <w:rPr>
                <w:color w:val="000000" w:themeColor="text1"/>
                <w:sz w:val="20"/>
                <w:szCs w:val="20"/>
              </w:rPr>
              <w:t>Z</w:t>
            </w:r>
            <w:r w:rsidR="00C03098" w:rsidRPr="002A1EDD">
              <w:rPr>
                <w:color w:val="000000" w:themeColor="text1"/>
                <w:sz w:val="20"/>
                <w:szCs w:val="20"/>
              </w:rPr>
              <w:t>akup JUS - Mjesni odbori</w:t>
            </w:r>
          </w:p>
        </w:tc>
        <w:tc>
          <w:tcPr>
            <w:tcW w:w="1306" w:type="dxa"/>
            <w:shd w:val="clear" w:color="auto" w:fill="auto"/>
            <w:vAlign w:val="center"/>
            <w:hideMark/>
          </w:tcPr>
          <w:p w14:paraId="1C91B3C8" w14:textId="77777777" w:rsidR="00C03098" w:rsidRPr="002A1EDD" w:rsidRDefault="00647892" w:rsidP="00C03098">
            <w:pPr>
              <w:jc w:val="right"/>
              <w:rPr>
                <w:color w:val="000000" w:themeColor="text1"/>
                <w:sz w:val="20"/>
                <w:szCs w:val="20"/>
              </w:rPr>
            </w:pPr>
            <w:r w:rsidRPr="002A1EDD">
              <w:rPr>
                <w:color w:val="000000" w:themeColor="text1"/>
                <w:sz w:val="20"/>
                <w:szCs w:val="20"/>
              </w:rPr>
              <w:t>119.000</w:t>
            </w:r>
          </w:p>
        </w:tc>
        <w:tc>
          <w:tcPr>
            <w:tcW w:w="1306" w:type="dxa"/>
            <w:shd w:val="clear" w:color="auto" w:fill="auto"/>
            <w:vAlign w:val="center"/>
            <w:hideMark/>
          </w:tcPr>
          <w:p w14:paraId="1CAAD0CE" w14:textId="77777777" w:rsidR="00C03098" w:rsidRPr="002A1EDD" w:rsidRDefault="00647892" w:rsidP="00D94F4C">
            <w:pPr>
              <w:jc w:val="right"/>
              <w:rPr>
                <w:color w:val="000000" w:themeColor="text1"/>
                <w:sz w:val="20"/>
                <w:szCs w:val="20"/>
              </w:rPr>
            </w:pPr>
            <w:r w:rsidRPr="002A1EDD">
              <w:rPr>
                <w:color w:val="000000" w:themeColor="text1"/>
                <w:sz w:val="20"/>
                <w:szCs w:val="20"/>
              </w:rPr>
              <w:t>119</w:t>
            </w:r>
            <w:r w:rsidR="00D94F4C" w:rsidRPr="002A1EDD">
              <w:rPr>
                <w:color w:val="000000" w:themeColor="text1"/>
                <w:sz w:val="20"/>
                <w:szCs w:val="20"/>
              </w:rPr>
              <w:t>.</w:t>
            </w:r>
            <w:r w:rsidR="00C03098" w:rsidRPr="002A1EDD">
              <w:rPr>
                <w:color w:val="000000" w:themeColor="text1"/>
                <w:sz w:val="20"/>
                <w:szCs w:val="20"/>
              </w:rPr>
              <w:t>000</w:t>
            </w:r>
          </w:p>
        </w:tc>
        <w:tc>
          <w:tcPr>
            <w:tcW w:w="1215" w:type="dxa"/>
            <w:shd w:val="clear" w:color="auto" w:fill="auto"/>
            <w:vAlign w:val="center"/>
            <w:hideMark/>
          </w:tcPr>
          <w:p w14:paraId="60193DCF" w14:textId="77777777" w:rsidR="00C03098" w:rsidRPr="002A1EDD" w:rsidRDefault="000A01E4" w:rsidP="000A01E4">
            <w:pPr>
              <w:jc w:val="center"/>
              <w:rPr>
                <w:color w:val="000000" w:themeColor="text1"/>
                <w:sz w:val="20"/>
                <w:szCs w:val="20"/>
              </w:rPr>
            </w:pPr>
            <w:r w:rsidRPr="002A1EDD">
              <w:rPr>
                <w:color w:val="000000" w:themeColor="text1"/>
                <w:sz w:val="20"/>
                <w:szCs w:val="20"/>
              </w:rPr>
              <w:t>100,00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43651946" w14:textId="77777777" w:rsidR="00C03098" w:rsidRPr="002A1EDD" w:rsidRDefault="00C03098" w:rsidP="00C03098">
            <w:pPr>
              <w:jc w:val="right"/>
              <w:rPr>
                <w:color w:val="000000" w:themeColor="text1"/>
                <w:sz w:val="20"/>
                <w:szCs w:val="20"/>
              </w:rPr>
            </w:pPr>
            <w:r w:rsidRPr="002A1EDD">
              <w:rPr>
                <w:color w:val="000000" w:themeColor="text1"/>
                <w:sz w:val="20"/>
                <w:szCs w:val="20"/>
              </w:rPr>
              <w:t>120.000</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14:paraId="18875B90" w14:textId="77777777" w:rsidR="00C03098" w:rsidRPr="002A1EDD" w:rsidRDefault="00C03098" w:rsidP="00C03098">
            <w:pPr>
              <w:jc w:val="right"/>
              <w:rPr>
                <w:color w:val="000000" w:themeColor="text1"/>
                <w:sz w:val="20"/>
                <w:szCs w:val="20"/>
              </w:rPr>
            </w:pPr>
            <w:r w:rsidRPr="002A1EDD">
              <w:rPr>
                <w:color w:val="000000" w:themeColor="text1"/>
                <w:sz w:val="20"/>
                <w:szCs w:val="20"/>
              </w:rPr>
              <w:t>120.000</w:t>
            </w:r>
          </w:p>
        </w:tc>
      </w:tr>
      <w:tr w:rsidR="002A1EDD" w:rsidRPr="002A1EDD" w14:paraId="665A230D" w14:textId="77777777" w:rsidTr="00B47FC9">
        <w:trPr>
          <w:trHeight w:val="612"/>
          <w:jc w:val="center"/>
        </w:trPr>
        <w:tc>
          <w:tcPr>
            <w:tcW w:w="3877" w:type="dxa"/>
            <w:shd w:val="clear" w:color="auto" w:fill="auto"/>
            <w:vAlign w:val="center"/>
            <w:hideMark/>
          </w:tcPr>
          <w:p w14:paraId="243C426F" w14:textId="77777777" w:rsidR="00011401" w:rsidRPr="002A1EDD" w:rsidRDefault="00AE4422" w:rsidP="00335946">
            <w:pPr>
              <w:jc w:val="center"/>
              <w:rPr>
                <w:b/>
                <w:bCs/>
                <w:color w:val="000000" w:themeColor="text1"/>
                <w:sz w:val="20"/>
                <w:szCs w:val="20"/>
              </w:rPr>
            </w:pPr>
            <w:r w:rsidRPr="002A1EDD">
              <w:rPr>
                <w:b/>
                <w:bCs/>
                <w:color w:val="000000" w:themeColor="text1"/>
                <w:sz w:val="20"/>
                <w:szCs w:val="20"/>
              </w:rPr>
              <w:t>1.D</w:t>
            </w:r>
            <w:r w:rsidR="00011401" w:rsidRPr="002A1EDD">
              <w:rPr>
                <w:b/>
                <w:bCs/>
                <w:color w:val="000000" w:themeColor="text1"/>
                <w:sz w:val="20"/>
                <w:szCs w:val="20"/>
              </w:rPr>
              <w:t>. PRIHODI OD KOMUNALNIH DAVANJA, UPRAVNIH I BORAVIŠNIH PRISTOJBI,OSTALI PRIHODI POSEBNIH NAMJENA (65)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D63BB" w14:textId="77777777" w:rsidR="00011401" w:rsidRPr="002A1EDD" w:rsidRDefault="00011401" w:rsidP="00011401">
            <w:pPr>
              <w:jc w:val="right"/>
              <w:rPr>
                <w:b/>
                <w:bCs/>
                <w:color w:val="000000" w:themeColor="text1"/>
                <w:sz w:val="22"/>
                <w:szCs w:val="22"/>
              </w:rPr>
            </w:pPr>
            <w:r w:rsidRPr="002A1EDD">
              <w:rPr>
                <w:b/>
                <w:bCs/>
                <w:color w:val="000000" w:themeColor="text1"/>
                <w:sz w:val="22"/>
                <w:szCs w:val="22"/>
              </w:rPr>
              <w:t>9.998.240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077DABF" w14:textId="77777777" w:rsidR="00011401" w:rsidRPr="002A1EDD" w:rsidRDefault="00011401" w:rsidP="00011401">
            <w:pPr>
              <w:jc w:val="right"/>
              <w:rPr>
                <w:b/>
                <w:bCs/>
                <w:color w:val="000000" w:themeColor="text1"/>
                <w:sz w:val="22"/>
                <w:szCs w:val="22"/>
              </w:rPr>
            </w:pPr>
            <w:r w:rsidRPr="002A1EDD">
              <w:rPr>
                <w:b/>
                <w:bCs/>
                <w:color w:val="000000" w:themeColor="text1"/>
                <w:sz w:val="22"/>
                <w:szCs w:val="22"/>
              </w:rPr>
              <w:t>11.579.230</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110F94C0" w14:textId="77777777" w:rsidR="00011401" w:rsidRPr="002A1EDD" w:rsidRDefault="00011401" w:rsidP="000A01E4">
            <w:pPr>
              <w:jc w:val="center"/>
              <w:rPr>
                <w:b/>
                <w:bCs/>
                <w:color w:val="000000" w:themeColor="text1"/>
                <w:sz w:val="22"/>
                <w:szCs w:val="22"/>
              </w:rPr>
            </w:pPr>
            <w:r w:rsidRPr="002A1EDD">
              <w:rPr>
                <w:b/>
                <w:bCs/>
                <w:color w:val="000000" w:themeColor="text1"/>
                <w:sz w:val="22"/>
                <w:szCs w:val="22"/>
              </w:rPr>
              <w:t>115,81</w:t>
            </w:r>
          </w:p>
        </w:tc>
        <w:tc>
          <w:tcPr>
            <w:tcW w:w="1306" w:type="dxa"/>
            <w:tcBorders>
              <w:top w:val="single" w:sz="4" w:space="0" w:color="auto"/>
              <w:left w:val="nil"/>
              <w:bottom w:val="single" w:sz="4" w:space="0" w:color="auto"/>
              <w:right w:val="single" w:sz="4" w:space="0" w:color="auto"/>
            </w:tcBorders>
            <w:shd w:val="clear" w:color="auto" w:fill="auto"/>
            <w:vAlign w:val="center"/>
          </w:tcPr>
          <w:p w14:paraId="1DCA488B" w14:textId="77777777" w:rsidR="00011401" w:rsidRPr="002A1EDD" w:rsidRDefault="00011401" w:rsidP="00011401">
            <w:pPr>
              <w:jc w:val="right"/>
              <w:rPr>
                <w:b/>
                <w:bCs/>
                <w:color w:val="000000" w:themeColor="text1"/>
                <w:sz w:val="22"/>
                <w:szCs w:val="22"/>
              </w:rPr>
            </w:pPr>
            <w:r w:rsidRPr="002A1EDD">
              <w:rPr>
                <w:b/>
                <w:bCs/>
                <w:color w:val="000000" w:themeColor="text1"/>
                <w:sz w:val="22"/>
                <w:szCs w:val="22"/>
              </w:rPr>
              <w:t>14.929.230</w:t>
            </w:r>
          </w:p>
        </w:tc>
        <w:tc>
          <w:tcPr>
            <w:tcW w:w="1306" w:type="dxa"/>
            <w:tcBorders>
              <w:top w:val="single" w:sz="4" w:space="0" w:color="auto"/>
              <w:left w:val="nil"/>
              <w:bottom w:val="single" w:sz="4" w:space="0" w:color="auto"/>
              <w:right w:val="single" w:sz="4" w:space="0" w:color="auto"/>
            </w:tcBorders>
            <w:shd w:val="clear" w:color="auto" w:fill="auto"/>
            <w:vAlign w:val="center"/>
          </w:tcPr>
          <w:p w14:paraId="744DC3B6" w14:textId="77777777" w:rsidR="00011401" w:rsidRPr="002A1EDD" w:rsidRDefault="00011401" w:rsidP="00011401">
            <w:pPr>
              <w:jc w:val="right"/>
              <w:rPr>
                <w:b/>
                <w:bCs/>
                <w:color w:val="000000" w:themeColor="text1"/>
                <w:sz w:val="22"/>
                <w:szCs w:val="22"/>
              </w:rPr>
            </w:pPr>
            <w:r w:rsidRPr="002A1EDD">
              <w:rPr>
                <w:b/>
                <w:bCs/>
                <w:color w:val="000000" w:themeColor="text1"/>
                <w:sz w:val="22"/>
                <w:szCs w:val="22"/>
              </w:rPr>
              <w:t>17.379.230</w:t>
            </w:r>
          </w:p>
        </w:tc>
      </w:tr>
      <w:tr w:rsidR="002A1EDD" w:rsidRPr="002A1EDD" w14:paraId="451A6FD4" w14:textId="77777777" w:rsidTr="003C150F">
        <w:trPr>
          <w:trHeight w:val="264"/>
          <w:jc w:val="center"/>
        </w:trPr>
        <w:tc>
          <w:tcPr>
            <w:tcW w:w="3877" w:type="dxa"/>
            <w:shd w:val="clear" w:color="auto" w:fill="auto"/>
            <w:vAlign w:val="center"/>
            <w:hideMark/>
          </w:tcPr>
          <w:p w14:paraId="2AFF8A9B" w14:textId="77777777" w:rsidR="00011401" w:rsidRPr="002A1EDD" w:rsidRDefault="00011401" w:rsidP="00011401">
            <w:pPr>
              <w:jc w:val="right"/>
              <w:rPr>
                <w:color w:val="000000" w:themeColor="text1"/>
                <w:sz w:val="20"/>
                <w:szCs w:val="20"/>
              </w:rPr>
            </w:pPr>
            <w:r w:rsidRPr="002A1EDD">
              <w:rPr>
                <w:color w:val="000000" w:themeColor="text1"/>
                <w:sz w:val="20"/>
                <w:szCs w:val="20"/>
              </w:rPr>
              <w:t>Upravne pristojbe</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287530D4" w14:textId="77777777" w:rsidR="00011401" w:rsidRPr="002A1EDD" w:rsidRDefault="00011401" w:rsidP="00011401">
            <w:pPr>
              <w:jc w:val="right"/>
              <w:rPr>
                <w:color w:val="000000" w:themeColor="text1"/>
                <w:sz w:val="20"/>
                <w:szCs w:val="20"/>
              </w:rPr>
            </w:pPr>
            <w:r w:rsidRPr="002A1EDD">
              <w:rPr>
                <w:color w:val="000000" w:themeColor="text1"/>
                <w:sz w:val="18"/>
                <w:szCs w:val="18"/>
              </w:rPr>
              <w:t>25.000</w:t>
            </w:r>
          </w:p>
        </w:tc>
        <w:tc>
          <w:tcPr>
            <w:tcW w:w="1306" w:type="dxa"/>
            <w:tcBorders>
              <w:top w:val="nil"/>
              <w:left w:val="nil"/>
              <w:bottom w:val="single" w:sz="4" w:space="0" w:color="auto"/>
              <w:right w:val="single" w:sz="4" w:space="0" w:color="auto"/>
            </w:tcBorders>
            <w:shd w:val="clear" w:color="auto" w:fill="auto"/>
            <w:vAlign w:val="center"/>
            <w:hideMark/>
          </w:tcPr>
          <w:p w14:paraId="32DF0AA9" w14:textId="77777777" w:rsidR="00011401" w:rsidRPr="002A1EDD" w:rsidRDefault="00011401" w:rsidP="00011401">
            <w:pPr>
              <w:jc w:val="right"/>
              <w:rPr>
                <w:color w:val="000000" w:themeColor="text1"/>
                <w:sz w:val="20"/>
                <w:szCs w:val="20"/>
              </w:rPr>
            </w:pPr>
            <w:r w:rsidRPr="002A1EDD">
              <w:rPr>
                <w:color w:val="000000" w:themeColor="text1"/>
                <w:sz w:val="18"/>
                <w:szCs w:val="18"/>
              </w:rPr>
              <w:t>25.000</w:t>
            </w:r>
          </w:p>
        </w:tc>
        <w:tc>
          <w:tcPr>
            <w:tcW w:w="1215" w:type="dxa"/>
            <w:tcBorders>
              <w:top w:val="nil"/>
              <w:left w:val="nil"/>
              <w:bottom w:val="single" w:sz="4" w:space="0" w:color="auto"/>
              <w:right w:val="single" w:sz="4" w:space="0" w:color="auto"/>
            </w:tcBorders>
            <w:shd w:val="clear" w:color="auto" w:fill="auto"/>
            <w:vAlign w:val="center"/>
            <w:hideMark/>
          </w:tcPr>
          <w:p w14:paraId="31A8C079" w14:textId="77777777" w:rsidR="00011401" w:rsidRPr="002A1EDD" w:rsidRDefault="00011401" w:rsidP="00011401">
            <w:pPr>
              <w:jc w:val="right"/>
              <w:rPr>
                <w:color w:val="000000" w:themeColor="text1"/>
                <w:sz w:val="20"/>
                <w:szCs w:val="20"/>
              </w:rPr>
            </w:pPr>
            <w:r w:rsidRPr="002A1EDD">
              <w:rPr>
                <w:color w:val="000000" w:themeColor="text1"/>
                <w:sz w:val="18"/>
                <w:szCs w:val="18"/>
              </w:rPr>
              <w:t>100,00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31ECBBF2" w14:textId="77777777" w:rsidR="00011401" w:rsidRPr="002A1EDD" w:rsidRDefault="00011401" w:rsidP="00011401">
            <w:pPr>
              <w:jc w:val="right"/>
              <w:rPr>
                <w:color w:val="000000" w:themeColor="text1"/>
                <w:sz w:val="20"/>
                <w:szCs w:val="20"/>
              </w:rPr>
            </w:pPr>
            <w:r w:rsidRPr="002A1EDD">
              <w:rPr>
                <w:color w:val="000000" w:themeColor="text1"/>
                <w:sz w:val="18"/>
                <w:szCs w:val="18"/>
              </w:rPr>
              <w:t>25.000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61F31285" w14:textId="77777777" w:rsidR="00011401" w:rsidRPr="002A1EDD" w:rsidRDefault="00011401" w:rsidP="00011401">
            <w:pPr>
              <w:jc w:val="right"/>
              <w:rPr>
                <w:color w:val="000000" w:themeColor="text1"/>
                <w:sz w:val="20"/>
                <w:szCs w:val="20"/>
              </w:rPr>
            </w:pPr>
            <w:r w:rsidRPr="002A1EDD">
              <w:rPr>
                <w:color w:val="000000" w:themeColor="text1"/>
                <w:sz w:val="18"/>
                <w:szCs w:val="18"/>
              </w:rPr>
              <w:t>25.000</w:t>
            </w:r>
          </w:p>
        </w:tc>
      </w:tr>
      <w:tr w:rsidR="002A1EDD" w:rsidRPr="002A1EDD" w14:paraId="2AFC0A00" w14:textId="77777777" w:rsidTr="003C150F">
        <w:trPr>
          <w:trHeight w:val="264"/>
          <w:jc w:val="center"/>
        </w:trPr>
        <w:tc>
          <w:tcPr>
            <w:tcW w:w="3877" w:type="dxa"/>
            <w:shd w:val="clear" w:color="auto" w:fill="auto"/>
            <w:vAlign w:val="center"/>
            <w:hideMark/>
          </w:tcPr>
          <w:p w14:paraId="2240E6FE" w14:textId="77777777" w:rsidR="00011401" w:rsidRPr="002A1EDD" w:rsidRDefault="00011401" w:rsidP="00011401">
            <w:pPr>
              <w:jc w:val="right"/>
              <w:rPr>
                <w:color w:val="000000" w:themeColor="text1"/>
                <w:sz w:val="20"/>
                <w:szCs w:val="20"/>
              </w:rPr>
            </w:pPr>
            <w:r w:rsidRPr="002A1EDD">
              <w:rPr>
                <w:color w:val="000000" w:themeColor="text1"/>
                <w:sz w:val="20"/>
                <w:szCs w:val="20"/>
              </w:rPr>
              <w:t>Boravišna pristojba</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2EEA62FC" w14:textId="77777777" w:rsidR="00011401" w:rsidRPr="002A1EDD" w:rsidRDefault="00011401" w:rsidP="00011401">
            <w:pPr>
              <w:jc w:val="right"/>
              <w:rPr>
                <w:color w:val="000000" w:themeColor="text1"/>
                <w:sz w:val="20"/>
                <w:szCs w:val="20"/>
              </w:rPr>
            </w:pPr>
            <w:r w:rsidRPr="002A1EDD">
              <w:rPr>
                <w:color w:val="000000" w:themeColor="text1"/>
                <w:sz w:val="18"/>
                <w:szCs w:val="18"/>
              </w:rPr>
              <w:t>20.000</w:t>
            </w:r>
          </w:p>
        </w:tc>
        <w:tc>
          <w:tcPr>
            <w:tcW w:w="1306" w:type="dxa"/>
            <w:tcBorders>
              <w:top w:val="nil"/>
              <w:left w:val="nil"/>
              <w:bottom w:val="single" w:sz="4" w:space="0" w:color="auto"/>
              <w:right w:val="single" w:sz="4" w:space="0" w:color="auto"/>
            </w:tcBorders>
            <w:shd w:val="clear" w:color="auto" w:fill="auto"/>
            <w:vAlign w:val="center"/>
            <w:hideMark/>
          </w:tcPr>
          <w:p w14:paraId="70E426AD" w14:textId="77777777" w:rsidR="00011401" w:rsidRPr="002A1EDD" w:rsidRDefault="00011401" w:rsidP="00011401">
            <w:pPr>
              <w:jc w:val="right"/>
              <w:rPr>
                <w:color w:val="000000" w:themeColor="text1"/>
                <w:sz w:val="20"/>
                <w:szCs w:val="20"/>
              </w:rPr>
            </w:pPr>
            <w:r w:rsidRPr="002A1EDD">
              <w:rPr>
                <w:color w:val="000000" w:themeColor="text1"/>
                <w:sz w:val="18"/>
                <w:szCs w:val="18"/>
              </w:rPr>
              <w:t>50.000</w:t>
            </w:r>
          </w:p>
        </w:tc>
        <w:tc>
          <w:tcPr>
            <w:tcW w:w="1215" w:type="dxa"/>
            <w:tcBorders>
              <w:top w:val="nil"/>
              <w:left w:val="nil"/>
              <w:bottom w:val="single" w:sz="4" w:space="0" w:color="auto"/>
              <w:right w:val="single" w:sz="4" w:space="0" w:color="auto"/>
            </w:tcBorders>
            <w:shd w:val="clear" w:color="auto" w:fill="auto"/>
            <w:vAlign w:val="center"/>
            <w:hideMark/>
          </w:tcPr>
          <w:p w14:paraId="7BAC9F79" w14:textId="77777777" w:rsidR="00011401" w:rsidRPr="002A1EDD" w:rsidRDefault="00011401" w:rsidP="00011401">
            <w:pPr>
              <w:jc w:val="right"/>
              <w:rPr>
                <w:color w:val="000000" w:themeColor="text1"/>
                <w:sz w:val="20"/>
                <w:szCs w:val="20"/>
              </w:rPr>
            </w:pPr>
            <w:r w:rsidRPr="002A1EDD">
              <w:rPr>
                <w:color w:val="000000" w:themeColor="text1"/>
                <w:sz w:val="18"/>
                <w:szCs w:val="18"/>
              </w:rPr>
              <w:t>250,00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286EE310" w14:textId="77777777" w:rsidR="00011401" w:rsidRPr="002A1EDD" w:rsidRDefault="00011401" w:rsidP="00011401">
            <w:pPr>
              <w:jc w:val="right"/>
              <w:rPr>
                <w:color w:val="000000" w:themeColor="text1"/>
                <w:sz w:val="20"/>
                <w:szCs w:val="20"/>
              </w:rPr>
            </w:pPr>
            <w:r w:rsidRPr="002A1EDD">
              <w:rPr>
                <w:color w:val="000000" w:themeColor="text1"/>
                <w:sz w:val="18"/>
                <w:szCs w:val="18"/>
              </w:rPr>
              <w:t>100.000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4109AB43" w14:textId="77777777" w:rsidR="00011401" w:rsidRPr="002A1EDD" w:rsidRDefault="00011401" w:rsidP="00011401">
            <w:pPr>
              <w:jc w:val="right"/>
              <w:rPr>
                <w:color w:val="000000" w:themeColor="text1"/>
                <w:sz w:val="20"/>
                <w:szCs w:val="20"/>
              </w:rPr>
            </w:pPr>
            <w:r w:rsidRPr="002A1EDD">
              <w:rPr>
                <w:color w:val="000000" w:themeColor="text1"/>
                <w:sz w:val="18"/>
                <w:szCs w:val="18"/>
              </w:rPr>
              <w:t>150.000</w:t>
            </w:r>
          </w:p>
        </w:tc>
      </w:tr>
      <w:tr w:rsidR="002A1EDD" w:rsidRPr="002A1EDD" w14:paraId="4C9C927A" w14:textId="77777777" w:rsidTr="003C150F">
        <w:trPr>
          <w:trHeight w:val="264"/>
          <w:jc w:val="center"/>
        </w:trPr>
        <w:tc>
          <w:tcPr>
            <w:tcW w:w="3877" w:type="dxa"/>
            <w:shd w:val="clear" w:color="auto" w:fill="auto"/>
            <w:vAlign w:val="center"/>
            <w:hideMark/>
          </w:tcPr>
          <w:p w14:paraId="2218619E" w14:textId="77777777" w:rsidR="00011401" w:rsidRPr="002A1EDD" w:rsidRDefault="00011401" w:rsidP="00011401">
            <w:pPr>
              <w:jc w:val="right"/>
              <w:rPr>
                <w:color w:val="000000" w:themeColor="text1"/>
                <w:sz w:val="20"/>
                <w:szCs w:val="20"/>
              </w:rPr>
            </w:pPr>
            <w:r w:rsidRPr="002A1EDD">
              <w:rPr>
                <w:color w:val="000000" w:themeColor="text1"/>
                <w:sz w:val="20"/>
                <w:szCs w:val="20"/>
              </w:rPr>
              <w:t>Komunalni doprinos</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1C65A60B" w14:textId="77777777" w:rsidR="00011401" w:rsidRPr="002A1EDD" w:rsidRDefault="00011401" w:rsidP="00011401">
            <w:pPr>
              <w:jc w:val="right"/>
              <w:rPr>
                <w:color w:val="000000" w:themeColor="text1"/>
                <w:sz w:val="20"/>
                <w:szCs w:val="20"/>
              </w:rPr>
            </w:pPr>
            <w:r w:rsidRPr="002A1EDD">
              <w:rPr>
                <w:color w:val="000000" w:themeColor="text1"/>
                <w:sz w:val="18"/>
                <w:szCs w:val="18"/>
              </w:rPr>
              <w:t>1.500.000</w:t>
            </w:r>
          </w:p>
        </w:tc>
        <w:tc>
          <w:tcPr>
            <w:tcW w:w="1306" w:type="dxa"/>
            <w:tcBorders>
              <w:top w:val="nil"/>
              <w:left w:val="nil"/>
              <w:bottom w:val="single" w:sz="4" w:space="0" w:color="auto"/>
              <w:right w:val="single" w:sz="4" w:space="0" w:color="auto"/>
            </w:tcBorders>
            <w:shd w:val="clear" w:color="auto" w:fill="auto"/>
            <w:vAlign w:val="center"/>
            <w:hideMark/>
          </w:tcPr>
          <w:p w14:paraId="029FBDF4" w14:textId="77777777" w:rsidR="00011401" w:rsidRPr="002A1EDD" w:rsidRDefault="00011401" w:rsidP="00011401">
            <w:pPr>
              <w:jc w:val="right"/>
              <w:rPr>
                <w:color w:val="000000" w:themeColor="text1"/>
                <w:sz w:val="20"/>
                <w:szCs w:val="20"/>
              </w:rPr>
            </w:pPr>
            <w:r w:rsidRPr="002A1EDD">
              <w:rPr>
                <w:color w:val="000000" w:themeColor="text1"/>
                <w:sz w:val="18"/>
                <w:szCs w:val="18"/>
              </w:rPr>
              <w:t>2.000.000</w:t>
            </w:r>
          </w:p>
        </w:tc>
        <w:tc>
          <w:tcPr>
            <w:tcW w:w="1215" w:type="dxa"/>
            <w:tcBorders>
              <w:top w:val="nil"/>
              <w:left w:val="nil"/>
              <w:bottom w:val="single" w:sz="4" w:space="0" w:color="auto"/>
              <w:right w:val="single" w:sz="4" w:space="0" w:color="auto"/>
            </w:tcBorders>
            <w:shd w:val="clear" w:color="auto" w:fill="auto"/>
            <w:vAlign w:val="center"/>
            <w:hideMark/>
          </w:tcPr>
          <w:p w14:paraId="4546F7D5" w14:textId="77777777" w:rsidR="00011401" w:rsidRPr="002A1EDD" w:rsidRDefault="00011401" w:rsidP="00011401">
            <w:pPr>
              <w:jc w:val="right"/>
              <w:rPr>
                <w:color w:val="000000" w:themeColor="text1"/>
                <w:sz w:val="20"/>
                <w:szCs w:val="20"/>
              </w:rPr>
            </w:pPr>
            <w:r w:rsidRPr="002A1EDD">
              <w:rPr>
                <w:color w:val="000000" w:themeColor="text1"/>
                <w:sz w:val="18"/>
                <w:szCs w:val="18"/>
              </w:rPr>
              <w:t>133,33</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4E9E7714" w14:textId="77777777" w:rsidR="00011401" w:rsidRPr="002A1EDD" w:rsidRDefault="00011401" w:rsidP="00011401">
            <w:pPr>
              <w:jc w:val="right"/>
              <w:rPr>
                <w:color w:val="000000" w:themeColor="text1"/>
                <w:sz w:val="20"/>
                <w:szCs w:val="20"/>
              </w:rPr>
            </w:pPr>
            <w:r w:rsidRPr="002A1EDD">
              <w:rPr>
                <w:color w:val="000000" w:themeColor="text1"/>
                <w:sz w:val="18"/>
                <w:szCs w:val="18"/>
              </w:rPr>
              <w:t>5.000.000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304B1CCC" w14:textId="77777777" w:rsidR="00011401" w:rsidRPr="002A1EDD" w:rsidRDefault="00011401" w:rsidP="00011401">
            <w:pPr>
              <w:jc w:val="right"/>
              <w:rPr>
                <w:color w:val="000000" w:themeColor="text1"/>
                <w:sz w:val="20"/>
                <w:szCs w:val="20"/>
              </w:rPr>
            </w:pPr>
            <w:r w:rsidRPr="002A1EDD">
              <w:rPr>
                <w:color w:val="000000" w:themeColor="text1"/>
                <w:sz w:val="18"/>
                <w:szCs w:val="18"/>
              </w:rPr>
              <w:t>7.000.000</w:t>
            </w:r>
          </w:p>
        </w:tc>
      </w:tr>
      <w:tr w:rsidR="002A1EDD" w:rsidRPr="002A1EDD" w14:paraId="72B451F3" w14:textId="77777777" w:rsidTr="003C150F">
        <w:trPr>
          <w:trHeight w:val="264"/>
          <w:jc w:val="center"/>
        </w:trPr>
        <w:tc>
          <w:tcPr>
            <w:tcW w:w="3877" w:type="dxa"/>
            <w:shd w:val="clear" w:color="auto" w:fill="auto"/>
            <w:vAlign w:val="center"/>
            <w:hideMark/>
          </w:tcPr>
          <w:p w14:paraId="2DAC4064" w14:textId="77777777" w:rsidR="00011401" w:rsidRPr="002A1EDD" w:rsidRDefault="00011401" w:rsidP="00011401">
            <w:pPr>
              <w:jc w:val="right"/>
              <w:rPr>
                <w:color w:val="000000" w:themeColor="text1"/>
                <w:sz w:val="20"/>
                <w:szCs w:val="20"/>
              </w:rPr>
            </w:pPr>
            <w:r w:rsidRPr="002A1EDD">
              <w:rPr>
                <w:color w:val="000000" w:themeColor="text1"/>
                <w:sz w:val="20"/>
                <w:szCs w:val="20"/>
              </w:rPr>
              <w:t>Komunalna naknada</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442F0FA6" w14:textId="77777777" w:rsidR="00011401" w:rsidRPr="002A1EDD" w:rsidRDefault="00011401" w:rsidP="00011401">
            <w:pPr>
              <w:jc w:val="right"/>
              <w:rPr>
                <w:color w:val="000000" w:themeColor="text1"/>
                <w:sz w:val="20"/>
                <w:szCs w:val="20"/>
              </w:rPr>
            </w:pPr>
            <w:r w:rsidRPr="002A1EDD">
              <w:rPr>
                <w:color w:val="000000" w:themeColor="text1"/>
                <w:sz w:val="18"/>
                <w:szCs w:val="18"/>
              </w:rPr>
              <w:t>4.800.000</w:t>
            </w:r>
          </w:p>
        </w:tc>
        <w:tc>
          <w:tcPr>
            <w:tcW w:w="1306" w:type="dxa"/>
            <w:tcBorders>
              <w:top w:val="nil"/>
              <w:left w:val="nil"/>
              <w:bottom w:val="single" w:sz="4" w:space="0" w:color="auto"/>
              <w:right w:val="single" w:sz="4" w:space="0" w:color="auto"/>
            </w:tcBorders>
            <w:shd w:val="clear" w:color="auto" w:fill="auto"/>
            <w:vAlign w:val="center"/>
            <w:hideMark/>
          </w:tcPr>
          <w:p w14:paraId="5C782C8B" w14:textId="77777777" w:rsidR="00011401" w:rsidRPr="002A1EDD" w:rsidRDefault="00011401" w:rsidP="00011401">
            <w:pPr>
              <w:jc w:val="right"/>
              <w:rPr>
                <w:color w:val="000000" w:themeColor="text1"/>
                <w:sz w:val="20"/>
                <w:szCs w:val="20"/>
              </w:rPr>
            </w:pPr>
            <w:r w:rsidRPr="002A1EDD">
              <w:rPr>
                <w:color w:val="000000" w:themeColor="text1"/>
                <w:sz w:val="18"/>
                <w:szCs w:val="18"/>
              </w:rPr>
              <w:t>5.100.000</w:t>
            </w:r>
          </w:p>
        </w:tc>
        <w:tc>
          <w:tcPr>
            <w:tcW w:w="1215" w:type="dxa"/>
            <w:tcBorders>
              <w:top w:val="nil"/>
              <w:left w:val="nil"/>
              <w:bottom w:val="single" w:sz="4" w:space="0" w:color="auto"/>
              <w:right w:val="single" w:sz="4" w:space="0" w:color="auto"/>
            </w:tcBorders>
            <w:shd w:val="clear" w:color="auto" w:fill="auto"/>
            <w:vAlign w:val="center"/>
            <w:hideMark/>
          </w:tcPr>
          <w:p w14:paraId="0951B727" w14:textId="77777777" w:rsidR="00011401" w:rsidRPr="002A1EDD" w:rsidRDefault="00011401" w:rsidP="00011401">
            <w:pPr>
              <w:jc w:val="right"/>
              <w:rPr>
                <w:color w:val="000000" w:themeColor="text1"/>
                <w:sz w:val="20"/>
                <w:szCs w:val="20"/>
              </w:rPr>
            </w:pPr>
            <w:r w:rsidRPr="002A1EDD">
              <w:rPr>
                <w:color w:val="000000" w:themeColor="text1"/>
                <w:sz w:val="18"/>
                <w:szCs w:val="18"/>
              </w:rPr>
              <w:t>106,25</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1EEC00CD" w14:textId="77777777" w:rsidR="00011401" w:rsidRPr="002A1EDD" w:rsidRDefault="00011401" w:rsidP="00011401">
            <w:pPr>
              <w:jc w:val="right"/>
              <w:rPr>
                <w:color w:val="000000" w:themeColor="text1"/>
                <w:sz w:val="20"/>
                <w:szCs w:val="20"/>
              </w:rPr>
            </w:pPr>
            <w:r w:rsidRPr="002A1EDD">
              <w:rPr>
                <w:color w:val="000000" w:themeColor="text1"/>
                <w:sz w:val="18"/>
                <w:szCs w:val="18"/>
              </w:rPr>
              <w:t>5.400.000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5EE783B3" w14:textId="77777777" w:rsidR="00011401" w:rsidRPr="002A1EDD" w:rsidRDefault="00011401" w:rsidP="00011401">
            <w:pPr>
              <w:jc w:val="right"/>
              <w:rPr>
                <w:color w:val="000000" w:themeColor="text1"/>
                <w:sz w:val="20"/>
                <w:szCs w:val="20"/>
              </w:rPr>
            </w:pPr>
            <w:r w:rsidRPr="002A1EDD">
              <w:rPr>
                <w:color w:val="000000" w:themeColor="text1"/>
                <w:sz w:val="18"/>
                <w:szCs w:val="18"/>
              </w:rPr>
              <w:t>5.700.000</w:t>
            </w:r>
          </w:p>
        </w:tc>
      </w:tr>
      <w:tr w:rsidR="002A1EDD" w:rsidRPr="002A1EDD" w14:paraId="17936462" w14:textId="77777777" w:rsidTr="003C150F">
        <w:trPr>
          <w:trHeight w:val="408"/>
          <w:jc w:val="center"/>
        </w:trPr>
        <w:tc>
          <w:tcPr>
            <w:tcW w:w="3877" w:type="dxa"/>
            <w:shd w:val="clear" w:color="auto" w:fill="auto"/>
            <w:vAlign w:val="center"/>
            <w:hideMark/>
          </w:tcPr>
          <w:p w14:paraId="0AB8D503" w14:textId="77777777" w:rsidR="00011401" w:rsidRPr="002A1EDD" w:rsidRDefault="00011401" w:rsidP="00011401">
            <w:pPr>
              <w:jc w:val="right"/>
              <w:rPr>
                <w:color w:val="000000" w:themeColor="text1"/>
                <w:sz w:val="20"/>
                <w:szCs w:val="20"/>
              </w:rPr>
            </w:pPr>
            <w:r w:rsidRPr="002A1EDD">
              <w:rPr>
                <w:color w:val="000000" w:themeColor="text1"/>
                <w:sz w:val="20"/>
                <w:szCs w:val="20"/>
              </w:rPr>
              <w:t xml:space="preserve">Ostali prihodi po posebnim propisima (doprinosi za </w:t>
            </w:r>
            <w:proofErr w:type="spellStart"/>
            <w:r w:rsidRPr="002A1EDD">
              <w:rPr>
                <w:color w:val="000000" w:themeColor="text1"/>
                <w:sz w:val="20"/>
                <w:szCs w:val="20"/>
              </w:rPr>
              <w:t>šume,ostali</w:t>
            </w:r>
            <w:proofErr w:type="spellEnd"/>
            <w:r w:rsidRPr="002A1EDD">
              <w:rPr>
                <w:color w:val="000000" w:themeColor="text1"/>
                <w:sz w:val="20"/>
                <w:szCs w:val="20"/>
              </w:rPr>
              <w:t xml:space="preserve"> </w:t>
            </w:r>
            <w:proofErr w:type="spellStart"/>
            <w:r w:rsidRPr="002A1EDD">
              <w:rPr>
                <w:color w:val="000000" w:themeColor="text1"/>
                <w:sz w:val="20"/>
                <w:szCs w:val="20"/>
              </w:rPr>
              <w:t>nesp.prihodi</w:t>
            </w:r>
            <w:proofErr w:type="spellEnd"/>
            <w:r w:rsidRPr="002A1EDD">
              <w:rPr>
                <w:color w:val="000000" w:themeColor="text1"/>
                <w:sz w:val="20"/>
                <w:szCs w:val="20"/>
              </w:rPr>
              <w:t>,</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6FD07FC5" w14:textId="77777777" w:rsidR="00011401" w:rsidRPr="002A1EDD" w:rsidRDefault="00011401" w:rsidP="00011401">
            <w:pPr>
              <w:jc w:val="right"/>
              <w:rPr>
                <w:color w:val="000000" w:themeColor="text1"/>
                <w:sz w:val="20"/>
                <w:szCs w:val="20"/>
              </w:rPr>
            </w:pPr>
            <w:r w:rsidRPr="002A1EDD">
              <w:rPr>
                <w:color w:val="000000" w:themeColor="text1"/>
                <w:sz w:val="18"/>
                <w:szCs w:val="18"/>
              </w:rPr>
              <w:t>170.000</w:t>
            </w:r>
          </w:p>
        </w:tc>
        <w:tc>
          <w:tcPr>
            <w:tcW w:w="1306" w:type="dxa"/>
            <w:tcBorders>
              <w:top w:val="nil"/>
              <w:left w:val="nil"/>
              <w:bottom w:val="single" w:sz="4" w:space="0" w:color="auto"/>
              <w:right w:val="single" w:sz="4" w:space="0" w:color="auto"/>
            </w:tcBorders>
            <w:shd w:val="clear" w:color="auto" w:fill="auto"/>
            <w:vAlign w:val="center"/>
            <w:hideMark/>
          </w:tcPr>
          <w:p w14:paraId="2CC2A4CD" w14:textId="77777777" w:rsidR="00011401" w:rsidRPr="002A1EDD" w:rsidRDefault="00011401" w:rsidP="00011401">
            <w:pPr>
              <w:jc w:val="right"/>
              <w:rPr>
                <w:color w:val="000000" w:themeColor="text1"/>
                <w:sz w:val="20"/>
                <w:szCs w:val="20"/>
              </w:rPr>
            </w:pPr>
            <w:r w:rsidRPr="002A1EDD">
              <w:rPr>
                <w:color w:val="000000" w:themeColor="text1"/>
                <w:sz w:val="18"/>
                <w:szCs w:val="18"/>
              </w:rPr>
              <w:t>100.000</w:t>
            </w:r>
          </w:p>
        </w:tc>
        <w:tc>
          <w:tcPr>
            <w:tcW w:w="1215" w:type="dxa"/>
            <w:tcBorders>
              <w:top w:val="nil"/>
              <w:left w:val="nil"/>
              <w:bottom w:val="single" w:sz="4" w:space="0" w:color="auto"/>
              <w:right w:val="single" w:sz="4" w:space="0" w:color="auto"/>
            </w:tcBorders>
            <w:shd w:val="clear" w:color="auto" w:fill="auto"/>
            <w:vAlign w:val="center"/>
            <w:hideMark/>
          </w:tcPr>
          <w:p w14:paraId="4239063E" w14:textId="77777777" w:rsidR="00011401" w:rsidRPr="002A1EDD" w:rsidRDefault="00011401" w:rsidP="00011401">
            <w:pPr>
              <w:jc w:val="right"/>
              <w:rPr>
                <w:color w:val="000000" w:themeColor="text1"/>
                <w:sz w:val="20"/>
                <w:szCs w:val="20"/>
              </w:rPr>
            </w:pPr>
            <w:r w:rsidRPr="002A1EDD">
              <w:rPr>
                <w:color w:val="000000" w:themeColor="text1"/>
                <w:sz w:val="18"/>
                <w:szCs w:val="18"/>
              </w:rPr>
              <w:t>58,82</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20B15417" w14:textId="77777777" w:rsidR="00011401" w:rsidRPr="002A1EDD" w:rsidRDefault="00011401" w:rsidP="00011401">
            <w:pPr>
              <w:jc w:val="right"/>
              <w:rPr>
                <w:color w:val="000000" w:themeColor="text1"/>
                <w:sz w:val="20"/>
                <w:szCs w:val="20"/>
              </w:rPr>
            </w:pPr>
            <w:r w:rsidRPr="002A1EDD">
              <w:rPr>
                <w:color w:val="000000" w:themeColor="text1"/>
                <w:sz w:val="18"/>
                <w:szCs w:val="18"/>
              </w:rPr>
              <w:t>100.000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4DF3A87B" w14:textId="77777777" w:rsidR="00011401" w:rsidRPr="002A1EDD" w:rsidRDefault="00011401" w:rsidP="00011401">
            <w:pPr>
              <w:jc w:val="right"/>
              <w:rPr>
                <w:color w:val="000000" w:themeColor="text1"/>
                <w:sz w:val="20"/>
                <w:szCs w:val="20"/>
              </w:rPr>
            </w:pPr>
            <w:r w:rsidRPr="002A1EDD">
              <w:rPr>
                <w:color w:val="000000" w:themeColor="text1"/>
                <w:sz w:val="18"/>
                <w:szCs w:val="18"/>
              </w:rPr>
              <w:t>200.000</w:t>
            </w:r>
          </w:p>
        </w:tc>
      </w:tr>
      <w:tr w:rsidR="002A1EDD" w:rsidRPr="002A1EDD" w14:paraId="1CABDD1E" w14:textId="77777777" w:rsidTr="003C150F">
        <w:trPr>
          <w:trHeight w:val="264"/>
          <w:jc w:val="center"/>
        </w:trPr>
        <w:tc>
          <w:tcPr>
            <w:tcW w:w="3877" w:type="dxa"/>
            <w:shd w:val="clear" w:color="auto" w:fill="auto"/>
            <w:vAlign w:val="center"/>
          </w:tcPr>
          <w:p w14:paraId="0C7EB415" w14:textId="77777777" w:rsidR="00011401" w:rsidRPr="002A1EDD" w:rsidRDefault="00011401" w:rsidP="00011401">
            <w:pPr>
              <w:jc w:val="right"/>
              <w:rPr>
                <w:color w:val="000000" w:themeColor="text1"/>
                <w:sz w:val="20"/>
                <w:szCs w:val="20"/>
              </w:rPr>
            </w:pPr>
            <w:r w:rsidRPr="002A1EDD">
              <w:rPr>
                <w:color w:val="000000" w:themeColor="text1"/>
                <w:sz w:val="20"/>
                <w:szCs w:val="20"/>
              </w:rPr>
              <w:t>Refundacije troškova</w:t>
            </w:r>
          </w:p>
        </w:tc>
        <w:tc>
          <w:tcPr>
            <w:tcW w:w="1306" w:type="dxa"/>
            <w:tcBorders>
              <w:top w:val="nil"/>
              <w:left w:val="single" w:sz="4" w:space="0" w:color="auto"/>
              <w:bottom w:val="single" w:sz="4" w:space="0" w:color="auto"/>
              <w:right w:val="single" w:sz="4" w:space="0" w:color="auto"/>
            </w:tcBorders>
            <w:shd w:val="clear" w:color="auto" w:fill="auto"/>
            <w:vAlign w:val="center"/>
          </w:tcPr>
          <w:p w14:paraId="73CF511C" w14:textId="77777777" w:rsidR="00011401" w:rsidRPr="002A1EDD" w:rsidRDefault="00011401" w:rsidP="00011401">
            <w:pPr>
              <w:jc w:val="right"/>
              <w:rPr>
                <w:color w:val="000000" w:themeColor="text1"/>
                <w:sz w:val="20"/>
                <w:szCs w:val="20"/>
              </w:rPr>
            </w:pPr>
            <w:r w:rsidRPr="002A1EDD">
              <w:rPr>
                <w:color w:val="000000" w:themeColor="text1"/>
                <w:sz w:val="18"/>
                <w:szCs w:val="18"/>
              </w:rPr>
              <w:t>430.000</w:t>
            </w:r>
          </w:p>
        </w:tc>
        <w:tc>
          <w:tcPr>
            <w:tcW w:w="1306" w:type="dxa"/>
            <w:tcBorders>
              <w:top w:val="nil"/>
              <w:left w:val="nil"/>
              <w:bottom w:val="single" w:sz="4" w:space="0" w:color="auto"/>
              <w:right w:val="single" w:sz="4" w:space="0" w:color="auto"/>
            </w:tcBorders>
            <w:shd w:val="clear" w:color="auto" w:fill="auto"/>
            <w:vAlign w:val="center"/>
          </w:tcPr>
          <w:p w14:paraId="736783F3" w14:textId="77777777" w:rsidR="00011401" w:rsidRPr="002A1EDD" w:rsidRDefault="00011401" w:rsidP="00011401">
            <w:pPr>
              <w:jc w:val="right"/>
              <w:rPr>
                <w:color w:val="000000" w:themeColor="text1"/>
                <w:sz w:val="20"/>
                <w:szCs w:val="20"/>
              </w:rPr>
            </w:pPr>
            <w:r w:rsidRPr="002A1EDD">
              <w:rPr>
                <w:color w:val="000000" w:themeColor="text1"/>
                <w:sz w:val="18"/>
                <w:szCs w:val="18"/>
              </w:rPr>
              <w:t>430.000</w:t>
            </w:r>
          </w:p>
        </w:tc>
        <w:tc>
          <w:tcPr>
            <w:tcW w:w="1215" w:type="dxa"/>
            <w:tcBorders>
              <w:top w:val="nil"/>
              <w:left w:val="nil"/>
              <w:bottom w:val="single" w:sz="4" w:space="0" w:color="auto"/>
              <w:right w:val="single" w:sz="4" w:space="0" w:color="auto"/>
            </w:tcBorders>
            <w:shd w:val="clear" w:color="auto" w:fill="auto"/>
            <w:vAlign w:val="center"/>
          </w:tcPr>
          <w:p w14:paraId="653DE6F4" w14:textId="77777777" w:rsidR="00011401" w:rsidRPr="002A1EDD" w:rsidRDefault="00011401" w:rsidP="00011401">
            <w:pPr>
              <w:jc w:val="right"/>
              <w:rPr>
                <w:color w:val="000000" w:themeColor="text1"/>
                <w:sz w:val="20"/>
                <w:szCs w:val="20"/>
              </w:rPr>
            </w:pPr>
            <w:r w:rsidRPr="002A1EDD">
              <w:rPr>
                <w:color w:val="000000" w:themeColor="text1"/>
                <w:sz w:val="18"/>
                <w:szCs w:val="18"/>
              </w:rPr>
              <w:t>100,00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12D20B37" w14:textId="77777777" w:rsidR="00011401" w:rsidRPr="002A1EDD" w:rsidRDefault="00011401" w:rsidP="00011401">
            <w:pPr>
              <w:jc w:val="right"/>
              <w:rPr>
                <w:color w:val="000000" w:themeColor="text1"/>
                <w:sz w:val="20"/>
                <w:szCs w:val="20"/>
              </w:rPr>
            </w:pPr>
            <w:r w:rsidRPr="002A1EDD">
              <w:rPr>
                <w:color w:val="000000" w:themeColor="text1"/>
                <w:sz w:val="18"/>
                <w:szCs w:val="18"/>
              </w:rPr>
              <w:t>430.000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1F04F807" w14:textId="77777777" w:rsidR="00011401" w:rsidRPr="002A1EDD" w:rsidRDefault="00011401" w:rsidP="00011401">
            <w:pPr>
              <w:jc w:val="right"/>
              <w:rPr>
                <w:color w:val="000000" w:themeColor="text1"/>
                <w:sz w:val="20"/>
                <w:szCs w:val="20"/>
              </w:rPr>
            </w:pPr>
            <w:r w:rsidRPr="002A1EDD">
              <w:rPr>
                <w:color w:val="000000" w:themeColor="text1"/>
                <w:sz w:val="18"/>
                <w:szCs w:val="18"/>
              </w:rPr>
              <w:t>430.000</w:t>
            </w:r>
          </w:p>
        </w:tc>
      </w:tr>
      <w:tr w:rsidR="002A1EDD" w:rsidRPr="002A1EDD" w14:paraId="7B5C5FA9" w14:textId="77777777" w:rsidTr="003C150F">
        <w:trPr>
          <w:trHeight w:val="264"/>
          <w:jc w:val="center"/>
        </w:trPr>
        <w:tc>
          <w:tcPr>
            <w:tcW w:w="3877" w:type="dxa"/>
            <w:shd w:val="clear" w:color="auto" w:fill="auto"/>
            <w:vAlign w:val="center"/>
            <w:hideMark/>
          </w:tcPr>
          <w:p w14:paraId="084E80B3" w14:textId="77777777" w:rsidR="00011401" w:rsidRPr="002A1EDD" w:rsidRDefault="00D94F4C" w:rsidP="00D94F4C">
            <w:pPr>
              <w:jc w:val="right"/>
              <w:rPr>
                <w:color w:val="000000" w:themeColor="text1"/>
                <w:sz w:val="20"/>
                <w:szCs w:val="20"/>
              </w:rPr>
            </w:pPr>
            <w:r w:rsidRPr="002A1EDD">
              <w:rPr>
                <w:color w:val="000000" w:themeColor="text1"/>
                <w:sz w:val="20"/>
                <w:szCs w:val="20"/>
              </w:rPr>
              <w:t xml:space="preserve">Sufinanciranje </w:t>
            </w:r>
            <w:r w:rsidR="00011401" w:rsidRPr="002A1EDD">
              <w:rPr>
                <w:color w:val="000000" w:themeColor="text1"/>
                <w:sz w:val="20"/>
                <w:szCs w:val="20"/>
              </w:rPr>
              <w:t>cijene proračunskih korisnika</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46ABFA5D" w14:textId="77777777" w:rsidR="00011401" w:rsidRPr="002A1EDD" w:rsidRDefault="00011401" w:rsidP="00011401">
            <w:pPr>
              <w:jc w:val="right"/>
              <w:rPr>
                <w:color w:val="000000" w:themeColor="text1"/>
                <w:sz w:val="20"/>
                <w:szCs w:val="20"/>
              </w:rPr>
            </w:pPr>
            <w:r w:rsidRPr="002A1EDD">
              <w:rPr>
                <w:color w:val="000000" w:themeColor="text1"/>
                <w:sz w:val="18"/>
                <w:szCs w:val="18"/>
              </w:rPr>
              <w:t>2.653.240</w:t>
            </w:r>
          </w:p>
        </w:tc>
        <w:tc>
          <w:tcPr>
            <w:tcW w:w="1306" w:type="dxa"/>
            <w:tcBorders>
              <w:top w:val="nil"/>
              <w:left w:val="nil"/>
              <w:bottom w:val="single" w:sz="4" w:space="0" w:color="auto"/>
              <w:right w:val="single" w:sz="4" w:space="0" w:color="auto"/>
            </w:tcBorders>
            <w:shd w:val="clear" w:color="auto" w:fill="auto"/>
            <w:vAlign w:val="center"/>
            <w:hideMark/>
          </w:tcPr>
          <w:p w14:paraId="4EB0A97C" w14:textId="77777777" w:rsidR="00011401" w:rsidRPr="002A1EDD" w:rsidRDefault="00011401" w:rsidP="00011401">
            <w:pPr>
              <w:jc w:val="right"/>
              <w:rPr>
                <w:color w:val="000000" w:themeColor="text1"/>
                <w:sz w:val="20"/>
                <w:szCs w:val="20"/>
              </w:rPr>
            </w:pPr>
            <w:r w:rsidRPr="002A1EDD">
              <w:rPr>
                <w:color w:val="000000" w:themeColor="text1"/>
                <w:sz w:val="18"/>
                <w:szCs w:val="18"/>
              </w:rPr>
              <w:t>3.474.230</w:t>
            </w:r>
          </w:p>
        </w:tc>
        <w:tc>
          <w:tcPr>
            <w:tcW w:w="1215" w:type="dxa"/>
            <w:tcBorders>
              <w:top w:val="nil"/>
              <w:left w:val="nil"/>
              <w:bottom w:val="single" w:sz="4" w:space="0" w:color="auto"/>
              <w:right w:val="single" w:sz="4" w:space="0" w:color="auto"/>
            </w:tcBorders>
            <w:shd w:val="clear" w:color="auto" w:fill="auto"/>
            <w:vAlign w:val="center"/>
            <w:hideMark/>
          </w:tcPr>
          <w:p w14:paraId="6A62E2DF" w14:textId="77777777" w:rsidR="00011401" w:rsidRPr="002A1EDD" w:rsidRDefault="00011401" w:rsidP="00011401">
            <w:pPr>
              <w:jc w:val="right"/>
              <w:rPr>
                <w:color w:val="000000" w:themeColor="text1"/>
                <w:sz w:val="20"/>
                <w:szCs w:val="20"/>
              </w:rPr>
            </w:pPr>
            <w:r w:rsidRPr="002A1EDD">
              <w:rPr>
                <w:color w:val="000000" w:themeColor="text1"/>
                <w:sz w:val="18"/>
                <w:szCs w:val="18"/>
              </w:rPr>
              <w:t>130,94</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6EA66345" w14:textId="77777777" w:rsidR="00011401" w:rsidRPr="002A1EDD" w:rsidRDefault="00011401" w:rsidP="00011401">
            <w:pPr>
              <w:jc w:val="right"/>
              <w:rPr>
                <w:color w:val="000000" w:themeColor="text1"/>
                <w:sz w:val="20"/>
                <w:szCs w:val="20"/>
              </w:rPr>
            </w:pPr>
            <w:r w:rsidRPr="002A1EDD">
              <w:rPr>
                <w:color w:val="000000" w:themeColor="text1"/>
                <w:sz w:val="18"/>
                <w:szCs w:val="18"/>
              </w:rPr>
              <w:t>3.474.230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003B3B3E" w14:textId="77777777" w:rsidR="00011401" w:rsidRPr="002A1EDD" w:rsidRDefault="00011401" w:rsidP="00011401">
            <w:pPr>
              <w:jc w:val="right"/>
              <w:rPr>
                <w:color w:val="000000" w:themeColor="text1"/>
                <w:sz w:val="20"/>
                <w:szCs w:val="20"/>
              </w:rPr>
            </w:pPr>
            <w:r w:rsidRPr="002A1EDD">
              <w:rPr>
                <w:color w:val="000000" w:themeColor="text1"/>
                <w:sz w:val="18"/>
                <w:szCs w:val="18"/>
              </w:rPr>
              <w:t>3.474.230</w:t>
            </w:r>
          </w:p>
        </w:tc>
      </w:tr>
      <w:tr w:rsidR="002A1EDD" w:rsidRPr="002A1EDD" w14:paraId="1D66886E" w14:textId="77777777" w:rsidTr="003C150F">
        <w:trPr>
          <w:trHeight w:val="264"/>
          <w:jc w:val="center"/>
        </w:trPr>
        <w:tc>
          <w:tcPr>
            <w:tcW w:w="3877" w:type="dxa"/>
            <w:shd w:val="clear" w:color="auto" w:fill="auto"/>
            <w:vAlign w:val="center"/>
            <w:hideMark/>
          </w:tcPr>
          <w:p w14:paraId="21CEC1B2" w14:textId="77777777" w:rsidR="00011401" w:rsidRPr="002A1EDD" w:rsidRDefault="00D94F4C" w:rsidP="00011401">
            <w:pPr>
              <w:jc w:val="right"/>
              <w:rPr>
                <w:color w:val="000000" w:themeColor="text1"/>
                <w:sz w:val="20"/>
                <w:szCs w:val="20"/>
              </w:rPr>
            </w:pPr>
            <w:r w:rsidRPr="002A1EDD">
              <w:rPr>
                <w:color w:val="000000" w:themeColor="text1"/>
                <w:sz w:val="20"/>
                <w:szCs w:val="20"/>
              </w:rPr>
              <w:t xml:space="preserve">Sufinanciranje </w:t>
            </w:r>
            <w:r w:rsidR="00011401" w:rsidRPr="002A1EDD">
              <w:rPr>
                <w:color w:val="000000" w:themeColor="text1"/>
                <w:sz w:val="20"/>
                <w:szCs w:val="20"/>
              </w:rPr>
              <w:t>cijene putne karte</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13E98FBA" w14:textId="77777777" w:rsidR="00011401" w:rsidRPr="002A1EDD" w:rsidRDefault="00011401" w:rsidP="00011401">
            <w:pPr>
              <w:jc w:val="right"/>
              <w:rPr>
                <w:color w:val="000000" w:themeColor="text1"/>
                <w:sz w:val="20"/>
                <w:szCs w:val="20"/>
              </w:rPr>
            </w:pPr>
            <w:r w:rsidRPr="002A1EDD">
              <w:rPr>
                <w:color w:val="000000" w:themeColor="text1"/>
                <w:sz w:val="18"/>
                <w:szCs w:val="18"/>
              </w:rPr>
              <w:t>400.000</w:t>
            </w:r>
          </w:p>
        </w:tc>
        <w:tc>
          <w:tcPr>
            <w:tcW w:w="1306" w:type="dxa"/>
            <w:tcBorders>
              <w:top w:val="nil"/>
              <w:left w:val="nil"/>
              <w:bottom w:val="single" w:sz="4" w:space="0" w:color="auto"/>
              <w:right w:val="single" w:sz="4" w:space="0" w:color="auto"/>
            </w:tcBorders>
            <w:shd w:val="clear" w:color="auto" w:fill="auto"/>
            <w:vAlign w:val="center"/>
            <w:hideMark/>
          </w:tcPr>
          <w:p w14:paraId="023B7FAE" w14:textId="77777777" w:rsidR="00011401" w:rsidRPr="002A1EDD" w:rsidRDefault="00011401" w:rsidP="00011401">
            <w:pPr>
              <w:jc w:val="right"/>
              <w:rPr>
                <w:color w:val="000000" w:themeColor="text1"/>
                <w:sz w:val="20"/>
                <w:szCs w:val="20"/>
              </w:rPr>
            </w:pPr>
            <w:r w:rsidRPr="002A1EDD">
              <w:rPr>
                <w:color w:val="000000" w:themeColor="text1"/>
                <w:sz w:val="18"/>
                <w:szCs w:val="18"/>
              </w:rPr>
              <w:t>400.000</w:t>
            </w:r>
          </w:p>
        </w:tc>
        <w:tc>
          <w:tcPr>
            <w:tcW w:w="1215" w:type="dxa"/>
            <w:tcBorders>
              <w:top w:val="nil"/>
              <w:left w:val="nil"/>
              <w:bottom w:val="single" w:sz="4" w:space="0" w:color="auto"/>
              <w:right w:val="single" w:sz="4" w:space="0" w:color="auto"/>
            </w:tcBorders>
            <w:shd w:val="clear" w:color="auto" w:fill="auto"/>
            <w:vAlign w:val="center"/>
            <w:hideMark/>
          </w:tcPr>
          <w:p w14:paraId="3F9DF706" w14:textId="77777777" w:rsidR="00011401" w:rsidRPr="002A1EDD" w:rsidRDefault="00011401" w:rsidP="00011401">
            <w:pPr>
              <w:jc w:val="right"/>
              <w:rPr>
                <w:color w:val="000000" w:themeColor="text1"/>
                <w:sz w:val="20"/>
                <w:szCs w:val="20"/>
              </w:rPr>
            </w:pPr>
            <w:r w:rsidRPr="002A1EDD">
              <w:rPr>
                <w:color w:val="000000" w:themeColor="text1"/>
                <w:sz w:val="18"/>
                <w:szCs w:val="18"/>
              </w:rPr>
              <w:t>100,00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2A1A7F98" w14:textId="77777777" w:rsidR="00011401" w:rsidRPr="002A1EDD" w:rsidRDefault="00011401" w:rsidP="00011401">
            <w:pPr>
              <w:jc w:val="right"/>
              <w:rPr>
                <w:color w:val="000000" w:themeColor="text1"/>
                <w:sz w:val="20"/>
                <w:szCs w:val="20"/>
              </w:rPr>
            </w:pPr>
            <w:r w:rsidRPr="002A1EDD">
              <w:rPr>
                <w:color w:val="000000" w:themeColor="text1"/>
                <w:sz w:val="18"/>
                <w:szCs w:val="18"/>
              </w:rPr>
              <w:t>400.000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559DAF9A" w14:textId="77777777" w:rsidR="00011401" w:rsidRPr="002A1EDD" w:rsidRDefault="00011401" w:rsidP="00011401">
            <w:pPr>
              <w:jc w:val="right"/>
              <w:rPr>
                <w:color w:val="000000" w:themeColor="text1"/>
                <w:sz w:val="20"/>
                <w:szCs w:val="20"/>
              </w:rPr>
            </w:pPr>
            <w:r w:rsidRPr="002A1EDD">
              <w:rPr>
                <w:color w:val="000000" w:themeColor="text1"/>
                <w:sz w:val="18"/>
                <w:szCs w:val="18"/>
              </w:rPr>
              <w:t>400.000</w:t>
            </w:r>
          </w:p>
        </w:tc>
      </w:tr>
      <w:tr w:rsidR="002A1EDD" w:rsidRPr="002A1EDD" w14:paraId="543AF71F" w14:textId="77777777" w:rsidTr="00B47FC9">
        <w:trPr>
          <w:trHeight w:val="408"/>
          <w:jc w:val="center"/>
        </w:trPr>
        <w:tc>
          <w:tcPr>
            <w:tcW w:w="3877" w:type="dxa"/>
            <w:shd w:val="clear" w:color="auto" w:fill="auto"/>
            <w:vAlign w:val="center"/>
            <w:hideMark/>
          </w:tcPr>
          <w:p w14:paraId="018CA381" w14:textId="77777777" w:rsidR="00335946" w:rsidRPr="002A1EDD" w:rsidRDefault="00335946" w:rsidP="00AE4422">
            <w:pPr>
              <w:jc w:val="center"/>
              <w:rPr>
                <w:b/>
                <w:bCs/>
                <w:color w:val="000000" w:themeColor="text1"/>
                <w:sz w:val="22"/>
                <w:szCs w:val="22"/>
              </w:rPr>
            </w:pPr>
            <w:r w:rsidRPr="002A1EDD">
              <w:rPr>
                <w:b/>
                <w:bCs/>
                <w:color w:val="000000" w:themeColor="text1"/>
                <w:sz w:val="22"/>
                <w:szCs w:val="22"/>
              </w:rPr>
              <w:t>1</w:t>
            </w:r>
            <w:r w:rsidR="00AE4422" w:rsidRPr="002A1EDD">
              <w:rPr>
                <w:b/>
                <w:bCs/>
                <w:color w:val="000000" w:themeColor="text1"/>
                <w:sz w:val="22"/>
                <w:szCs w:val="22"/>
              </w:rPr>
              <w:t>.E</w:t>
            </w:r>
            <w:r w:rsidRPr="002A1EDD">
              <w:rPr>
                <w:b/>
                <w:bCs/>
                <w:color w:val="000000" w:themeColor="text1"/>
                <w:sz w:val="22"/>
                <w:szCs w:val="22"/>
              </w:rPr>
              <w:t>. PRIHODI OD PRODAJE PROIZVODA I USLUGA, DONACIJE (66)</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9408B" w14:textId="77777777" w:rsidR="00335946" w:rsidRPr="002A1EDD" w:rsidRDefault="00335946" w:rsidP="00335946">
            <w:pPr>
              <w:jc w:val="right"/>
              <w:rPr>
                <w:b/>
                <w:bCs/>
                <w:color w:val="000000" w:themeColor="text1"/>
                <w:sz w:val="22"/>
                <w:szCs w:val="22"/>
              </w:rPr>
            </w:pPr>
            <w:r w:rsidRPr="002A1EDD">
              <w:rPr>
                <w:b/>
                <w:bCs/>
                <w:color w:val="000000" w:themeColor="text1"/>
                <w:sz w:val="22"/>
                <w:szCs w:val="22"/>
              </w:rPr>
              <w:t>750.542</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FDDBC35" w14:textId="77777777" w:rsidR="00335946" w:rsidRPr="002A1EDD" w:rsidRDefault="00335946" w:rsidP="00335946">
            <w:pPr>
              <w:jc w:val="right"/>
              <w:rPr>
                <w:b/>
                <w:bCs/>
                <w:color w:val="000000" w:themeColor="text1"/>
                <w:sz w:val="22"/>
                <w:szCs w:val="22"/>
              </w:rPr>
            </w:pPr>
            <w:r w:rsidRPr="002A1EDD">
              <w:rPr>
                <w:b/>
                <w:bCs/>
                <w:color w:val="000000" w:themeColor="text1"/>
                <w:sz w:val="22"/>
                <w:szCs w:val="22"/>
              </w:rPr>
              <w:t>1.012.450</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88A2CEF" w14:textId="77777777" w:rsidR="00335946" w:rsidRPr="002A1EDD" w:rsidRDefault="00335946" w:rsidP="00335946">
            <w:pPr>
              <w:jc w:val="right"/>
              <w:rPr>
                <w:b/>
                <w:bCs/>
                <w:color w:val="000000" w:themeColor="text1"/>
                <w:sz w:val="22"/>
                <w:szCs w:val="22"/>
              </w:rPr>
            </w:pPr>
            <w:r w:rsidRPr="002A1EDD">
              <w:rPr>
                <w:b/>
                <w:bCs/>
                <w:color w:val="000000" w:themeColor="text1"/>
                <w:sz w:val="22"/>
                <w:szCs w:val="22"/>
              </w:rPr>
              <w:t>134,90</w:t>
            </w:r>
          </w:p>
        </w:tc>
        <w:tc>
          <w:tcPr>
            <w:tcW w:w="1306" w:type="dxa"/>
            <w:tcBorders>
              <w:top w:val="single" w:sz="4" w:space="0" w:color="auto"/>
              <w:left w:val="nil"/>
              <w:bottom w:val="single" w:sz="4" w:space="0" w:color="auto"/>
              <w:right w:val="single" w:sz="4" w:space="0" w:color="auto"/>
            </w:tcBorders>
            <w:shd w:val="clear" w:color="auto" w:fill="auto"/>
            <w:vAlign w:val="center"/>
          </w:tcPr>
          <w:p w14:paraId="47EAAFBB" w14:textId="77777777" w:rsidR="00335946" w:rsidRPr="002A1EDD" w:rsidRDefault="00335946" w:rsidP="00335946">
            <w:pPr>
              <w:jc w:val="right"/>
              <w:rPr>
                <w:b/>
                <w:bCs/>
                <w:color w:val="000000" w:themeColor="text1"/>
                <w:sz w:val="22"/>
                <w:szCs w:val="22"/>
              </w:rPr>
            </w:pPr>
            <w:r w:rsidRPr="002A1EDD">
              <w:rPr>
                <w:b/>
                <w:bCs/>
                <w:color w:val="000000" w:themeColor="text1"/>
                <w:sz w:val="22"/>
                <w:szCs w:val="22"/>
              </w:rPr>
              <w:t>1.089.200</w:t>
            </w:r>
          </w:p>
        </w:tc>
        <w:tc>
          <w:tcPr>
            <w:tcW w:w="1306" w:type="dxa"/>
            <w:tcBorders>
              <w:top w:val="single" w:sz="4" w:space="0" w:color="auto"/>
              <w:left w:val="nil"/>
              <w:bottom w:val="single" w:sz="4" w:space="0" w:color="auto"/>
              <w:right w:val="single" w:sz="4" w:space="0" w:color="auto"/>
            </w:tcBorders>
            <w:shd w:val="clear" w:color="auto" w:fill="auto"/>
            <w:vAlign w:val="center"/>
          </w:tcPr>
          <w:p w14:paraId="116469C9" w14:textId="77777777" w:rsidR="00335946" w:rsidRPr="002A1EDD" w:rsidRDefault="00335946" w:rsidP="00335946">
            <w:pPr>
              <w:jc w:val="right"/>
              <w:rPr>
                <w:b/>
                <w:bCs/>
                <w:color w:val="000000" w:themeColor="text1"/>
                <w:sz w:val="22"/>
                <w:szCs w:val="22"/>
              </w:rPr>
            </w:pPr>
            <w:r w:rsidRPr="002A1EDD">
              <w:rPr>
                <w:b/>
                <w:bCs/>
                <w:color w:val="000000" w:themeColor="text1"/>
                <w:sz w:val="22"/>
                <w:szCs w:val="22"/>
              </w:rPr>
              <w:t>1.012.300</w:t>
            </w:r>
          </w:p>
        </w:tc>
      </w:tr>
      <w:tr w:rsidR="002A1EDD" w:rsidRPr="002A1EDD" w14:paraId="05EB054E" w14:textId="77777777" w:rsidTr="003C150F">
        <w:trPr>
          <w:trHeight w:val="264"/>
          <w:jc w:val="center"/>
        </w:trPr>
        <w:tc>
          <w:tcPr>
            <w:tcW w:w="3877" w:type="dxa"/>
            <w:shd w:val="clear" w:color="auto" w:fill="auto"/>
            <w:vAlign w:val="center"/>
            <w:hideMark/>
          </w:tcPr>
          <w:p w14:paraId="75273574" w14:textId="77777777" w:rsidR="00335946" w:rsidRPr="002A1EDD" w:rsidRDefault="00335946" w:rsidP="00335946">
            <w:pPr>
              <w:jc w:val="right"/>
              <w:rPr>
                <w:color w:val="000000" w:themeColor="text1"/>
                <w:sz w:val="20"/>
                <w:szCs w:val="20"/>
              </w:rPr>
            </w:pPr>
            <w:r w:rsidRPr="002A1EDD">
              <w:rPr>
                <w:color w:val="000000" w:themeColor="text1"/>
                <w:sz w:val="20"/>
                <w:szCs w:val="20"/>
              </w:rPr>
              <w:t>Prihodi od pruženih usluga</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7C3A9122" w14:textId="77777777" w:rsidR="00335946" w:rsidRPr="002A1EDD" w:rsidRDefault="00335946" w:rsidP="00335946">
            <w:pPr>
              <w:jc w:val="right"/>
              <w:rPr>
                <w:color w:val="000000" w:themeColor="text1"/>
                <w:sz w:val="20"/>
                <w:szCs w:val="20"/>
              </w:rPr>
            </w:pPr>
            <w:r w:rsidRPr="002A1EDD">
              <w:rPr>
                <w:color w:val="000000" w:themeColor="text1"/>
                <w:sz w:val="18"/>
                <w:szCs w:val="18"/>
              </w:rPr>
              <w:t>340.000</w:t>
            </w:r>
          </w:p>
        </w:tc>
        <w:tc>
          <w:tcPr>
            <w:tcW w:w="1306" w:type="dxa"/>
            <w:tcBorders>
              <w:top w:val="nil"/>
              <w:left w:val="nil"/>
              <w:bottom w:val="single" w:sz="4" w:space="0" w:color="auto"/>
              <w:right w:val="single" w:sz="4" w:space="0" w:color="auto"/>
            </w:tcBorders>
            <w:shd w:val="clear" w:color="auto" w:fill="auto"/>
            <w:vAlign w:val="center"/>
            <w:hideMark/>
          </w:tcPr>
          <w:p w14:paraId="6DDEB810" w14:textId="77777777" w:rsidR="00335946" w:rsidRPr="002A1EDD" w:rsidRDefault="00335946" w:rsidP="00335946">
            <w:pPr>
              <w:jc w:val="right"/>
              <w:rPr>
                <w:color w:val="000000" w:themeColor="text1"/>
                <w:sz w:val="20"/>
                <w:szCs w:val="20"/>
              </w:rPr>
            </w:pPr>
            <w:r w:rsidRPr="002A1EDD">
              <w:rPr>
                <w:color w:val="000000" w:themeColor="text1"/>
                <w:sz w:val="18"/>
                <w:szCs w:val="18"/>
              </w:rPr>
              <w:t>250.000</w:t>
            </w:r>
          </w:p>
        </w:tc>
        <w:tc>
          <w:tcPr>
            <w:tcW w:w="1215" w:type="dxa"/>
            <w:tcBorders>
              <w:top w:val="nil"/>
              <w:left w:val="nil"/>
              <w:bottom w:val="single" w:sz="4" w:space="0" w:color="auto"/>
              <w:right w:val="single" w:sz="4" w:space="0" w:color="auto"/>
            </w:tcBorders>
            <w:shd w:val="clear" w:color="auto" w:fill="auto"/>
            <w:vAlign w:val="center"/>
            <w:hideMark/>
          </w:tcPr>
          <w:p w14:paraId="1448419D" w14:textId="77777777" w:rsidR="00335946" w:rsidRPr="002A1EDD" w:rsidRDefault="00335946" w:rsidP="00335946">
            <w:pPr>
              <w:jc w:val="right"/>
              <w:rPr>
                <w:color w:val="000000" w:themeColor="text1"/>
                <w:sz w:val="20"/>
                <w:szCs w:val="20"/>
              </w:rPr>
            </w:pPr>
            <w:r w:rsidRPr="002A1EDD">
              <w:rPr>
                <w:color w:val="000000" w:themeColor="text1"/>
                <w:sz w:val="18"/>
                <w:szCs w:val="18"/>
              </w:rPr>
              <w:t>73,53</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3309EAFE" w14:textId="77777777" w:rsidR="00335946" w:rsidRPr="002A1EDD" w:rsidRDefault="00335946" w:rsidP="00335946">
            <w:pPr>
              <w:jc w:val="right"/>
              <w:rPr>
                <w:color w:val="000000" w:themeColor="text1"/>
                <w:sz w:val="20"/>
                <w:szCs w:val="20"/>
              </w:rPr>
            </w:pPr>
            <w:r w:rsidRPr="002A1EDD">
              <w:rPr>
                <w:color w:val="000000" w:themeColor="text1"/>
                <w:sz w:val="18"/>
                <w:szCs w:val="18"/>
              </w:rPr>
              <w:t>250.000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1E88ECA4" w14:textId="77777777" w:rsidR="00335946" w:rsidRPr="002A1EDD" w:rsidRDefault="00335946" w:rsidP="00335946">
            <w:pPr>
              <w:jc w:val="right"/>
              <w:rPr>
                <w:color w:val="000000" w:themeColor="text1"/>
                <w:sz w:val="20"/>
                <w:szCs w:val="20"/>
              </w:rPr>
            </w:pPr>
            <w:r w:rsidRPr="002A1EDD">
              <w:rPr>
                <w:color w:val="000000" w:themeColor="text1"/>
                <w:sz w:val="18"/>
                <w:szCs w:val="18"/>
              </w:rPr>
              <w:t>250.000</w:t>
            </w:r>
          </w:p>
        </w:tc>
      </w:tr>
      <w:tr w:rsidR="002A1EDD" w:rsidRPr="002A1EDD" w14:paraId="7397BAA5" w14:textId="77777777" w:rsidTr="003C150F">
        <w:trPr>
          <w:trHeight w:val="264"/>
          <w:jc w:val="center"/>
        </w:trPr>
        <w:tc>
          <w:tcPr>
            <w:tcW w:w="3877" w:type="dxa"/>
            <w:shd w:val="clear" w:color="auto" w:fill="auto"/>
            <w:vAlign w:val="center"/>
            <w:hideMark/>
          </w:tcPr>
          <w:p w14:paraId="24373DE1" w14:textId="77777777" w:rsidR="00335946" w:rsidRPr="002A1EDD" w:rsidRDefault="00335946" w:rsidP="00335946">
            <w:pPr>
              <w:jc w:val="right"/>
              <w:rPr>
                <w:color w:val="000000" w:themeColor="text1"/>
                <w:sz w:val="20"/>
                <w:szCs w:val="20"/>
              </w:rPr>
            </w:pPr>
            <w:r w:rsidRPr="002A1EDD">
              <w:rPr>
                <w:color w:val="000000" w:themeColor="text1"/>
                <w:sz w:val="20"/>
                <w:szCs w:val="20"/>
              </w:rPr>
              <w:t>Tekuće donacije</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764DB195" w14:textId="77777777" w:rsidR="00335946" w:rsidRPr="002A1EDD" w:rsidRDefault="00335946" w:rsidP="00335946">
            <w:pPr>
              <w:jc w:val="right"/>
              <w:rPr>
                <w:color w:val="000000" w:themeColor="text1"/>
                <w:sz w:val="20"/>
                <w:szCs w:val="20"/>
              </w:rPr>
            </w:pPr>
            <w:r w:rsidRPr="002A1EDD">
              <w:rPr>
                <w:color w:val="000000" w:themeColor="text1"/>
                <w:sz w:val="18"/>
                <w:szCs w:val="18"/>
              </w:rPr>
              <w:t>22.600</w:t>
            </w:r>
          </w:p>
        </w:tc>
        <w:tc>
          <w:tcPr>
            <w:tcW w:w="1306" w:type="dxa"/>
            <w:tcBorders>
              <w:top w:val="nil"/>
              <w:left w:val="nil"/>
              <w:bottom w:val="single" w:sz="4" w:space="0" w:color="auto"/>
              <w:right w:val="single" w:sz="4" w:space="0" w:color="auto"/>
            </w:tcBorders>
            <w:shd w:val="clear" w:color="auto" w:fill="auto"/>
            <w:vAlign w:val="center"/>
            <w:hideMark/>
          </w:tcPr>
          <w:p w14:paraId="1DA2A0F6" w14:textId="77777777" w:rsidR="00335946" w:rsidRPr="002A1EDD" w:rsidRDefault="00335946" w:rsidP="00335946">
            <w:pPr>
              <w:jc w:val="right"/>
              <w:rPr>
                <w:color w:val="000000" w:themeColor="text1"/>
                <w:sz w:val="20"/>
                <w:szCs w:val="20"/>
              </w:rPr>
            </w:pPr>
            <w:r w:rsidRPr="002A1EDD">
              <w:rPr>
                <w:color w:val="000000" w:themeColor="text1"/>
                <w:sz w:val="18"/>
                <w:szCs w:val="18"/>
              </w:rPr>
              <w:t>0</w:t>
            </w:r>
          </w:p>
        </w:tc>
        <w:tc>
          <w:tcPr>
            <w:tcW w:w="1215" w:type="dxa"/>
            <w:tcBorders>
              <w:top w:val="nil"/>
              <w:left w:val="nil"/>
              <w:bottom w:val="single" w:sz="4" w:space="0" w:color="auto"/>
              <w:right w:val="single" w:sz="4" w:space="0" w:color="auto"/>
            </w:tcBorders>
            <w:shd w:val="clear" w:color="auto" w:fill="auto"/>
            <w:vAlign w:val="center"/>
            <w:hideMark/>
          </w:tcPr>
          <w:p w14:paraId="0305AC5A" w14:textId="77777777" w:rsidR="00335946" w:rsidRPr="002A1EDD" w:rsidRDefault="00335946" w:rsidP="00335946">
            <w:pPr>
              <w:jc w:val="right"/>
              <w:rPr>
                <w:color w:val="000000" w:themeColor="text1"/>
                <w:sz w:val="20"/>
                <w:szCs w:val="20"/>
              </w:rPr>
            </w:pPr>
            <w:r w:rsidRPr="002A1EDD">
              <w:rPr>
                <w:color w:val="000000" w:themeColor="text1"/>
                <w:sz w:val="18"/>
                <w:szCs w:val="18"/>
              </w:rPr>
              <w:t>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0BB1A7E7" w14:textId="77777777" w:rsidR="00335946" w:rsidRPr="002A1EDD" w:rsidRDefault="00335946" w:rsidP="00335946">
            <w:pPr>
              <w:jc w:val="right"/>
              <w:rPr>
                <w:color w:val="000000" w:themeColor="text1"/>
                <w:sz w:val="20"/>
                <w:szCs w:val="20"/>
              </w:rPr>
            </w:pPr>
            <w:r w:rsidRPr="002A1EDD">
              <w:rPr>
                <w:color w:val="000000" w:themeColor="text1"/>
                <w:sz w:val="18"/>
                <w:szCs w:val="18"/>
              </w:rPr>
              <w:t>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39830D08" w14:textId="77777777" w:rsidR="00335946" w:rsidRPr="002A1EDD" w:rsidRDefault="00335946" w:rsidP="00335946">
            <w:pPr>
              <w:jc w:val="right"/>
              <w:rPr>
                <w:color w:val="000000" w:themeColor="text1"/>
                <w:sz w:val="20"/>
                <w:szCs w:val="20"/>
              </w:rPr>
            </w:pPr>
            <w:r w:rsidRPr="002A1EDD">
              <w:rPr>
                <w:color w:val="000000" w:themeColor="text1"/>
                <w:sz w:val="18"/>
                <w:szCs w:val="18"/>
              </w:rPr>
              <w:t>0</w:t>
            </w:r>
          </w:p>
        </w:tc>
      </w:tr>
      <w:tr w:rsidR="002A1EDD" w:rsidRPr="002A1EDD" w14:paraId="661C2698" w14:textId="77777777" w:rsidTr="003C150F">
        <w:trPr>
          <w:trHeight w:val="264"/>
          <w:jc w:val="center"/>
        </w:trPr>
        <w:tc>
          <w:tcPr>
            <w:tcW w:w="3877" w:type="dxa"/>
            <w:shd w:val="clear" w:color="auto" w:fill="auto"/>
            <w:vAlign w:val="center"/>
            <w:hideMark/>
          </w:tcPr>
          <w:p w14:paraId="1EE03930" w14:textId="77777777" w:rsidR="00335946" w:rsidRPr="002A1EDD" w:rsidRDefault="009C21CA" w:rsidP="009C21CA">
            <w:pPr>
              <w:jc w:val="right"/>
              <w:rPr>
                <w:color w:val="000000" w:themeColor="text1"/>
                <w:sz w:val="20"/>
                <w:szCs w:val="20"/>
              </w:rPr>
            </w:pPr>
            <w:r w:rsidRPr="002A1EDD">
              <w:rPr>
                <w:color w:val="000000" w:themeColor="text1"/>
                <w:sz w:val="20"/>
                <w:szCs w:val="20"/>
              </w:rPr>
              <w:t>Prihodi proračunskog</w:t>
            </w:r>
            <w:r w:rsidR="00335946" w:rsidRPr="002A1EDD">
              <w:rPr>
                <w:color w:val="000000" w:themeColor="text1"/>
                <w:sz w:val="20"/>
                <w:szCs w:val="20"/>
              </w:rPr>
              <w:t xml:space="preserve"> korisnika Dječji vrtić</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1AFEB9FC" w14:textId="77777777" w:rsidR="00335946" w:rsidRPr="002A1EDD" w:rsidRDefault="00335946" w:rsidP="00335946">
            <w:pPr>
              <w:jc w:val="right"/>
              <w:rPr>
                <w:color w:val="000000" w:themeColor="text1"/>
                <w:sz w:val="20"/>
                <w:szCs w:val="20"/>
              </w:rPr>
            </w:pPr>
            <w:r w:rsidRPr="002A1EDD">
              <w:rPr>
                <w:color w:val="000000" w:themeColor="text1"/>
                <w:sz w:val="18"/>
                <w:szCs w:val="18"/>
              </w:rPr>
              <w:t>364.472</w:t>
            </w:r>
          </w:p>
        </w:tc>
        <w:tc>
          <w:tcPr>
            <w:tcW w:w="1306" w:type="dxa"/>
            <w:tcBorders>
              <w:top w:val="nil"/>
              <w:left w:val="nil"/>
              <w:bottom w:val="single" w:sz="4" w:space="0" w:color="auto"/>
              <w:right w:val="single" w:sz="4" w:space="0" w:color="auto"/>
            </w:tcBorders>
            <w:shd w:val="clear" w:color="auto" w:fill="auto"/>
            <w:vAlign w:val="center"/>
            <w:hideMark/>
          </w:tcPr>
          <w:p w14:paraId="3931C054" w14:textId="77777777" w:rsidR="00335946" w:rsidRPr="002A1EDD" w:rsidRDefault="00335946" w:rsidP="00335946">
            <w:pPr>
              <w:jc w:val="right"/>
              <w:rPr>
                <w:color w:val="000000" w:themeColor="text1"/>
                <w:sz w:val="20"/>
                <w:szCs w:val="20"/>
              </w:rPr>
            </w:pPr>
            <w:r w:rsidRPr="002A1EDD">
              <w:rPr>
                <w:color w:val="000000" w:themeColor="text1"/>
                <w:sz w:val="18"/>
                <w:szCs w:val="18"/>
              </w:rPr>
              <w:t>435.000</w:t>
            </w:r>
          </w:p>
        </w:tc>
        <w:tc>
          <w:tcPr>
            <w:tcW w:w="1215" w:type="dxa"/>
            <w:tcBorders>
              <w:top w:val="nil"/>
              <w:left w:val="nil"/>
              <w:bottom w:val="single" w:sz="4" w:space="0" w:color="auto"/>
              <w:right w:val="single" w:sz="4" w:space="0" w:color="auto"/>
            </w:tcBorders>
            <w:shd w:val="clear" w:color="auto" w:fill="auto"/>
            <w:vAlign w:val="center"/>
            <w:hideMark/>
          </w:tcPr>
          <w:p w14:paraId="44AC30CE" w14:textId="77777777" w:rsidR="00335946" w:rsidRPr="002A1EDD" w:rsidRDefault="00335946" w:rsidP="00335946">
            <w:pPr>
              <w:jc w:val="right"/>
              <w:rPr>
                <w:color w:val="000000" w:themeColor="text1"/>
                <w:sz w:val="20"/>
                <w:szCs w:val="20"/>
              </w:rPr>
            </w:pPr>
            <w:r w:rsidRPr="002A1EDD">
              <w:rPr>
                <w:color w:val="000000" w:themeColor="text1"/>
                <w:sz w:val="18"/>
                <w:szCs w:val="18"/>
              </w:rPr>
              <w:t>119,35</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1CD923F5" w14:textId="77777777" w:rsidR="00335946" w:rsidRPr="002A1EDD" w:rsidRDefault="00335946" w:rsidP="00335946">
            <w:pPr>
              <w:jc w:val="right"/>
              <w:rPr>
                <w:color w:val="000000" w:themeColor="text1"/>
                <w:sz w:val="20"/>
                <w:szCs w:val="20"/>
              </w:rPr>
            </w:pPr>
            <w:r w:rsidRPr="002A1EDD">
              <w:rPr>
                <w:color w:val="000000" w:themeColor="text1"/>
                <w:sz w:val="18"/>
                <w:szCs w:val="18"/>
              </w:rPr>
              <w:t>435.000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51452EAB" w14:textId="77777777" w:rsidR="00335946" w:rsidRPr="002A1EDD" w:rsidRDefault="00335946" w:rsidP="00335946">
            <w:pPr>
              <w:jc w:val="right"/>
              <w:rPr>
                <w:color w:val="000000" w:themeColor="text1"/>
                <w:sz w:val="20"/>
                <w:szCs w:val="20"/>
              </w:rPr>
            </w:pPr>
            <w:r w:rsidRPr="002A1EDD">
              <w:rPr>
                <w:color w:val="000000" w:themeColor="text1"/>
                <w:sz w:val="18"/>
                <w:szCs w:val="18"/>
              </w:rPr>
              <w:t>435.000</w:t>
            </w:r>
          </w:p>
        </w:tc>
      </w:tr>
      <w:tr w:rsidR="002A1EDD" w:rsidRPr="002A1EDD" w14:paraId="27659733" w14:textId="77777777" w:rsidTr="003C150F">
        <w:trPr>
          <w:trHeight w:val="264"/>
          <w:jc w:val="center"/>
        </w:trPr>
        <w:tc>
          <w:tcPr>
            <w:tcW w:w="3877" w:type="dxa"/>
            <w:shd w:val="clear" w:color="auto" w:fill="auto"/>
            <w:vAlign w:val="center"/>
          </w:tcPr>
          <w:p w14:paraId="61017234" w14:textId="77777777" w:rsidR="00335946" w:rsidRPr="002A1EDD" w:rsidRDefault="00335946" w:rsidP="00335946">
            <w:pPr>
              <w:jc w:val="right"/>
              <w:rPr>
                <w:color w:val="000000" w:themeColor="text1"/>
                <w:sz w:val="20"/>
                <w:szCs w:val="20"/>
              </w:rPr>
            </w:pPr>
            <w:r w:rsidRPr="002A1EDD">
              <w:rPr>
                <w:color w:val="000000" w:themeColor="text1"/>
                <w:sz w:val="20"/>
                <w:szCs w:val="20"/>
              </w:rPr>
              <w:t>Donacije (projekt „Aktivni umirovljenici“)</w:t>
            </w:r>
          </w:p>
        </w:tc>
        <w:tc>
          <w:tcPr>
            <w:tcW w:w="1306" w:type="dxa"/>
            <w:tcBorders>
              <w:top w:val="nil"/>
              <w:left w:val="single" w:sz="4" w:space="0" w:color="auto"/>
              <w:bottom w:val="single" w:sz="4" w:space="0" w:color="auto"/>
              <w:right w:val="single" w:sz="4" w:space="0" w:color="auto"/>
            </w:tcBorders>
            <w:shd w:val="clear" w:color="auto" w:fill="auto"/>
            <w:vAlign w:val="center"/>
          </w:tcPr>
          <w:p w14:paraId="0F871EB1" w14:textId="77777777" w:rsidR="00335946" w:rsidRPr="002A1EDD" w:rsidRDefault="00335946" w:rsidP="00335946">
            <w:pPr>
              <w:jc w:val="right"/>
              <w:rPr>
                <w:color w:val="000000" w:themeColor="text1"/>
                <w:sz w:val="20"/>
                <w:szCs w:val="20"/>
              </w:rPr>
            </w:pPr>
            <w:r w:rsidRPr="002A1EDD">
              <w:rPr>
                <w:color w:val="000000" w:themeColor="text1"/>
                <w:sz w:val="18"/>
                <w:szCs w:val="18"/>
              </w:rPr>
              <w:t>23.470</w:t>
            </w:r>
          </w:p>
        </w:tc>
        <w:tc>
          <w:tcPr>
            <w:tcW w:w="1306" w:type="dxa"/>
            <w:tcBorders>
              <w:top w:val="nil"/>
              <w:left w:val="nil"/>
              <w:bottom w:val="single" w:sz="4" w:space="0" w:color="auto"/>
              <w:right w:val="single" w:sz="4" w:space="0" w:color="auto"/>
            </w:tcBorders>
            <w:shd w:val="clear" w:color="auto" w:fill="auto"/>
            <w:vAlign w:val="center"/>
          </w:tcPr>
          <w:p w14:paraId="4DB1320F" w14:textId="77777777" w:rsidR="00335946" w:rsidRPr="002A1EDD" w:rsidRDefault="00335946" w:rsidP="00335946">
            <w:pPr>
              <w:jc w:val="right"/>
              <w:rPr>
                <w:color w:val="000000" w:themeColor="text1"/>
                <w:sz w:val="20"/>
                <w:szCs w:val="20"/>
              </w:rPr>
            </w:pPr>
            <w:r w:rsidRPr="002A1EDD">
              <w:rPr>
                <w:color w:val="000000" w:themeColor="text1"/>
                <w:sz w:val="18"/>
                <w:szCs w:val="18"/>
              </w:rPr>
              <w:t>327.450</w:t>
            </w:r>
          </w:p>
        </w:tc>
        <w:tc>
          <w:tcPr>
            <w:tcW w:w="1215" w:type="dxa"/>
            <w:tcBorders>
              <w:top w:val="nil"/>
              <w:left w:val="nil"/>
              <w:bottom w:val="single" w:sz="4" w:space="0" w:color="auto"/>
              <w:right w:val="single" w:sz="4" w:space="0" w:color="auto"/>
            </w:tcBorders>
            <w:shd w:val="clear" w:color="auto" w:fill="auto"/>
            <w:vAlign w:val="center"/>
          </w:tcPr>
          <w:p w14:paraId="21DA4769" w14:textId="77777777" w:rsidR="00335946" w:rsidRPr="002A1EDD" w:rsidRDefault="00335946" w:rsidP="00335946">
            <w:pPr>
              <w:jc w:val="right"/>
              <w:rPr>
                <w:color w:val="000000" w:themeColor="text1"/>
                <w:sz w:val="20"/>
                <w:szCs w:val="20"/>
              </w:rPr>
            </w:pPr>
            <w:r w:rsidRPr="002A1EDD">
              <w:rPr>
                <w:color w:val="000000" w:themeColor="text1"/>
                <w:sz w:val="18"/>
                <w:szCs w:val="18"/>
              </w:rPr>
              <w:t>1.395,19</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4DF25871" w14:textId="77777777" w:rsidR="00335946" w:rsidRPr="002A1EDD" w:rsidRDefault="00335946" w:rsidP="00335946">
            <w:pPr>
              <w:jc w:val="right"/>
              <w:rPr>
                <w:color w:val="000000" w:themeColor="text1"/>
                <w:sz w:val="20"/>
                <w:szCs w:val="20"/>
              </w:rPr>
            </w:pPr>
            <w:r w:rsidRPr="002A1EDD">
              <w:rPr>
                <w:color w:val="000000" w:themeColor="text1"/>
                <w:sz w:val="18"/>
                <w:szCs w:val="18"/>
              </w:rPr>
              <w:t>404.200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6537C3F6" w14:textId="77777777" w:rsidR="00335946" w:rsidRPr="002A1EDD" w:rsidRDefault="00335946" w:rsidP="00335946">
            <w:pPr>
              <w:jc w:val="right"/>
              <w:rPr>
                <w:color w:val="000000" w:themeColor="text1"/>
                <w:sz w:val="20"/>
                <w:szCs w:val="20"/>
              </w:rPr>
            </w:pPr>
            <w:r w:rsidRPr="002A1EDD">
              <w:rPr>
                <w:color w:val="000000" w:themeColor="text1"/>
                <w:sz w:val="18"/>
                <w:szCs w:val="18"/>
              </w:rPr>
              <w:t>327.300</w:t>
            </w:r>
          </w:p>
        </w:tc>
      </w:tr>
      <w:tr w:rsidR="002A1EDD" w:rsidRPr="002A1EDD" w14:paraId="39A118E5" w14:textId="77777777" w:rsidTr="00B47FC9">
        <w:trPr>
          <w:trHeight w:val="264"/>
          <w:jc w:val="center"/>
        </w:trPr>
        <w:tc>
          <w:tcPr>
            <w:tcW w:w="3877" w:type="dxa"/>
            <w:shd w:val="clear" w:color="auto" w:fill="auto"/>
            <w:vAlign w:val="center"/>
            <w:hideMark/>
          </w:tcPr>
          <w:p w14:paraId="7F664967" w14:textId="77777777" w:rsidR="00335946" w:rsidRPr="002A1EDD" w:rsidRDefault="00335946" w:rsidP="00AE4422">
            <w:pPr>
              <w:jc w:val="center"/>
              <w:rPr>
                <w:b/>
                <w:bCs/>
                <w:color w:val="000000" w:themeColor="text1"/>
                <w:sz w:val="22"/>
                <w:szCs w:val="22"/>
              </w:rPr>
            </w:pPr>
            <w:r w:rsidRPr="002A1EDD">
              <w:rPr>
                <w:b/>
                <w:bCs/>
                <w:color w:val="000000" w:themeColor="text1"/>
                <w:sz w:val="22"/>
                <w:szCs w:val="22"/>
              </w:rPr>
              <w:t>1</w:t>
            </w:r>
            <w:r w:rsidR="00AE4422" w:rsidRPr="002A1EDD">
              <w:rPr>
                <w:b/>
                <w:bCs/>
                <w:color w:val="000000" w:themeColor="text1"/>
                <w:sz w:val="22"/>
                <w:szCs w:val="22"/>
              </w:rPr>
              <w:t>.F</w:t>
            </w:r>
            <w:r w:rsidRPr="002A1EDD">
              <w:rPr>
                <w:b/>
                <w:bCs/>
                <w:color w:val="000000" w:themeColor="text1"/>
                <w:sz w:val="22"/>
                <w:szCs w:val="22"/>
              </w:rPr>
              <w:t>. KAZNE UPRAVNE MJERE I OSTALI PRIHODI (68)</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AF85F" w14:textId="77777777" w:rsidR="00335946" w:rsidRPr="002A1EDD" w:rsidRDefault="00335946" w:rsidP="00335946">
            <w:pPr>
              <w:jc w:val="right"/>
              <w:rPr>
                <w:b/>
                <w:bCs/>
                <w:color w:val="000000" w:themeColor="text1"/>
                <w:sz w:val="22"/>
                <w:szCs w:val="22"/>
              </w:rPr>
            </w:pPr>
            <w:r w:rsidRPr="002A1EDD">
              <w:rPr>
                <w:b/>
                <w:bCs/>
                <w:color w:val="000000" w:themeColor="text1"/>
                <w:sz w:val="22"/>
                <w:szCs w:val="22"/>
              </w:rPr>
              <w:t>80.000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FB7030B" w14:textId="77777777" w:rsidR="00335946" w:rsidRPr="002A1EDD" w:rsidRDefault="00335946" w:rsidP="00335946">
            <w:pPr>
              <w:jc w:val="right"/>
              <w:rPr>
                <w:b/>
                <w:bCs/>
                <w:color w:val="000000" w:themeColor="text1"/>
                <w:sz w:val="22"/>
                <w:szCs w:val="22"/>
              </w:rPr>
            </w:pPr>
            <w:r w:rsidRPr="002A1EDD">
              <w:rPr>
                <w:b/>
                <w:bCs/>
                <w:color w:val="000000" w:themeColor="text1"/>
                <w:sz w:val="22"/>
                <w:szCs w:val="22"/>
              </w:rPr>
              <w:t>110.000</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1AFC8F1F" w14:textId="77777777" w:rsidR="00335946" w:rsidRPr="002A1EDD" w:rsidRDefault="00335946" w:rsidP="00335946">
            <w:pPr>
              <w:jc w:val="right"/>
              <w:rPr>
                <w:b/>
                <w:bCs/>
                <w:color w:val="000000" w:themeColor="text1"/>
                <w:sz w:val="22"/>
                <w:szCs w:val="22"/>
              </w:rPr>
            </w:pPr>
            <w:r w:rsidRPr="002A1EDD">
              <w:rPr>
                <w:b/>
                <w:bCs/>
                <w:color w:val="000000" w:themeColor="text1"/>
                <w:sz w:val="22"/>
                <w:szCs w:val="22"/>
              </w:rPr>
              <w:t>137,50</w:t>
            </w:r>
          </w:p>
        </w:tc>
        <w:tc>
          <w:tcPr>
            <w:tcW w:w="1306" w:type="dxa"/>
            <w:tcBorders>
              <w:top w:val="single" w:sz="4" w:space="0" w:color="auto"/>
              <w:left w:val="nil"/>
              <w:bottom w:val="single" w:sz="4" w:space="0" w:color="auto"/>
              <w:right w:val="single" w:sz="4" w:space="0" w:color="auto"/>
            </w:tcBorders>
            <w:shd w:val="clear" w:color="auto" w:fill="auto"/>
            <w:vAlign w:val="center"/>
          </w:tcPr>
          <w:p w14:paraId="660B4EBC" w14:textId="77777777" w:rsidR="00335946" w:rsidRPr="002A1EDD" w:rsidRDefault="00335946" w:rsidP="00335946">
            <w:pPr>
              <w:jc w:val="right"/>
              <w:rPr>
                <w:b/>
                <w:bCs/>
                <w:color w:val="000000" w:themeColor="text1"/>
                <w:sz w:val="22"/>
                <w:szCs w:val="22"/>
              </w:rPr>
            </w:pPr>
            <w:r w:rsidRPr="002A1EDD">
              <w:rPr>
                <w:b/>
                <w:bCs/>
                <w:color w:val="000000" w:themeColor="text1"/>
                <w:sz w:val="22"/>
                <w:szCs w:val="22"/>
              </w:rPr>
              <w:t>130.000</w:t>
            </w:r>
          </w:p>
        </w:tc>
        <w:tc>
          <w:tcPr>
            <w:tcW w:w="1306" w:type="dxa"/>
            <w:tcBorders>
              <w:top w:val="single" w:sz="4" w:space="0" w:color="auto"/>
              <w:left w:val="nil"/>
              <w:bottom w:val="single" w:sz="4" w:space="0" w:color="auto"/>
              <w:right w:val="single" w:sz="4" w:space="0" w:color="auto"/>
            </w:tcBorders>
            <w:shd w:val="clear" w:color="auto" w:fill="auto"/>
            <w:vAlign w:val="center"/>
          </w:tcPr>
          <w:p w14:paraId="5AD85E28" w14:textId="77777777" w:rsidR="00335946" w:rsidRPr="002A1EDD" w:rsidRDefault="00335946" w:rsidP="00335946">
            <w:pPr>
              <w:jc w:val="right"/>
              <w:rPr>
                <w:b/>
                <w:bCs/>
                <w:color w:val="000000" w:themeColor="text1"/>
                <w:sz w:val="22"/>
                <w:szCs w:val="22"/>
              </w:rPr>
            </w:pPr>
            <w:r w:rsidRPr="002A1EDD">
              <w:rPr>
                <w:b/>
                <w:bCs/>
                <w:color w:val="000000" w:themeColor="text1"/>
                <w:sz w:val="22"/>
                <w:szCs w:val="22"/>
              </w:rPr>
              <w:t>130.000</w:t>
            </w:r>
          </w:p>
        </w:tc>
      </w:tr>
      <w:tr w:rsidR="002A1EDD" w:rsidRPr="002A1EDD" w14:paraId="7B725DD8" w14:textId="77777777" w:rsidTr="003C150F">
        <w:trPr>
          <w:trHeight w:val="264"/>
          <w:jc w:val="center"/>
        </w:trPr>
        <w:tc>
          <w:tcPr>
            <w:tcW w:w="3877" w:type="dxa"/>
            <w:shd w:val="clear" w:color="auto" w:fill="auto"/>
            <w:vAlign w:val="center"/>
            <w:hideMark/>
          </w:tcPr>
          <w:p w14:paraId="7444E666" w14:textId="77777777" w:rsidR="00335946" w:rsidRPr="002A1EDD" w:rsidRDefault="00335946" w:rsidP="00335946">
            <w:pPr>
              <w:jc w:val="right"/>
              <w:rPr>
                <w:color w:val="000000" w:themeColor="text1"/>
                <w:sz w:val="20"/>
                <w:szCs w:val="20"/>
              </w:rPr>
            </w:pPr>
            <w:r w:rsidRPr="002A1EDD">
              <w:rPr>
                <w:color w:val="000000" w:themeColor="text1"/>
                <w:sz w:val="20"/>
                <w:szCs w:val="20"/>
              </w:rPr>
              <w:t>Kazne i upravne mjere</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1247D5C3" w14:textId="77777777" w:rsidR="00335946" w:rsidRPr="002A1EDD" w:rsidRDefault="00335946" w:rsidP="00335946">
            <w:pPr>
              <w:jc w:val="right"/>
              <w:rPr>
                <w:color w:val="000000" w:themeColor="text1"/>
                <w:sz w:val="20"/>
                <w:szCs w:val="20"/>
              </w:rPr>
            </w:pPr>
            <w:r w:rsidRPr="002A1EDD">
              <w:rPr>
                <w:color w:val="000000" w:themeColor="text1"/>
                <w:sz w:val="18"/>
                <w:szCs w:val="18"/>
              </w:rPr>
              <w:t>50.000</w:t>
            </w:r>
          </w:p>
        </w:tc>
        <w:tc>
          <w:tcPr>
            <w:tcW w:w="1306" w:type="dxa"/>
            <w:tcBorders>
              <w:top w:val="nil"/>
              <w:left w:val="nil"/>
              <w:bottom w:val="single" w:sz="4" w:space="0" w:color="auto"/>
              <w:right w:val="single" w:sz="4" w:space="0" w:color="auto"/>
            </w:tcBorders>
            <w:shd w:val="clear" w:color="auto" w:fill="auto"/>
            <w:vAlign w:val="center"/>
            <w:hideMark/>
          </w:tcPr>
          <w:p w14:paraId="68E0534F" w14:textId="77777777" w:rsidR="00335946" w:rsidRPr="002A1EDD" w:rsidRDefault="00335946" w:rsidP="00335946">
            <w:pPr>
              <w:jc w:val="right"/>
              <w:rPr>
                <w:color w:val="000000" w:themeColor="text1"/>
                <w:sz w:val="20"/>
                <w:szCs w:val="20"/>
              </w:rPr>
            </w:pPr>
            <w:r w:rsidRPr="002A1EDD">
              <w:rPr>
                <w:color w:val="000000" w:themeColor="text1"/>
                <w:sz w:val="18"/>
                <w:szCs w:val="18"/>
              </w:rPr>
              <w:t>80.000</w:t>
            </w:r>
          </w:p>
        </w:tc>
        <w:tc>
          <w:tcPr>
            <w:tcW w:w="1215" w:type="dxa"/>
            <w:tcBorders>
              <w:top w:val="nil"/>
              <w:left w:val="nil"/>
              <w:bottom w:val="single" w:sz="4" w:space="0" w:color="auto"/>
              <w:right w:val="single" w:sz="4" w:space="0" w:color="auto"/>
            </w:tcBorders>
            <w:shd w:val="clear" w:color="auto" w:fill="auto"/>
            <w:vAlign w:val="center"/>
            <w:hideMark/>
          </w:tcPr>
          <w:p w14:paraId="00E8E3C1" w14:textId="77777777" w:rsidR="00335946" w:rsidRPr="002A1EDD" w:rsidRDefault="00335946" w:rsidP="00335946">
            <w:pPr>
              <w:jc w:val="right"/>
              <w:rPr>
                <w:color w:val="000000" w:themeColor="text1"/>
                <w:sz w:val="20"/>
                <w:szCs w:val="20"/>
              </w:rPr>
            </w:pPr>
            <w:r w:rsidRPr="002A1EDD">
              <w:rPr>
                <w:color w:val="000000" w:themeColor="text1"/>
                <w:sz w:val="18"/>
                <w:szCs w:val="18"/>
              </w:rPr>
              <w:t>160,00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017625BB" w14:textId="77777777" w:rsidR="00335946" w:rsidRPr="002A1EDD" w:rsidRDefault="00335946" w:rsidP="00335946">
            <w:pPr>
              <w:jc w:val="right"/>
              <w:rPr>
                <w:color w:val="000000" w:themeColor="text1"/>
                <w:sz w:val="20"/>
                <w:szCs w:val="20"/>
              </w:rPr>
            </w:pPr>
            <w:r w:rsidRPr="002A1EDD">
              <w:rPr>
                <w:color w:val="000000" w:themeColor="text1"/>
                <w:sz w:val="18"/>
                <w:szCs w:val="18"/>
              </w:rPr>
              <w:t>100.000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2C921668" w14:textId="77777777" w:rsidR="00335946" w:rsidRPr="002A1EDD" w:rsidRDefault="00335946" w:rsidP="00335946">
            <w:pPr>
              <w:jc w:val="right"/>
              <w:rPr>
                <w:color w:val="000000" w:themeColor="text1"/>
                <w:sz w:val="20"/>
                <w:szCs w:val="20"/>
              </w:rPr>
            </w:pPr>
            <w:r w:rsidRPr="002A1EDD">
              <w:rPr>
                <w:color w:val="000000" w:themeColor="text1"/>
                <w:sz w:val="18"/>
                <w:szCs w:val="18"/>
              </w:rPr>
              <w:t>100.000</w:t>
            </w:r>
          </w:p>
        </w:tc>
      </w:tr>
      <w:tr w:rsidR="002A1EDD" w:rsidRPr="002A1EDD" w14:paraId="74E7A8A5" w14:textId="77777777" w:rsidTr="003C150F">
        <w:trPr>
          <w:trHeight w:val="264"/>
          <w:jc w:val="center"/>
        </w:trPr>
        <w:tc>
          <w:tcPr>
            <w:tcW w:w="3877" w:type="dxa"/>
            <w:shd w:val="clear" w:color="auto" w:fill="auto"/>
            <w:vAlign w:val="center"/>
            <w:hideMark/>
          </w:tcPr>
          <w:p w14:paraId="6D8712A7" w14:textId="77777777" w:rsidR="00335946" w:rsidRPr="002A1EDD" w:rsidRDefault="00335946" w:rsidP="00335946">
            <w:pPr>
              <w:jc w:val="right"/>
              <w:rPr>
                <w:color w:val="000000" w:themeColor="text1"/>
                <w:sz w:val="20"/>
                <w:szCs w:val="20"/>
              </w:rPr>
            </w:pPr>
            <w:r w:rsidRPr="002A1EDD">
              <w:rPr>
                <w:color w:val="000000" w:themeColor="text1"/>
                <w:sz w:val="20"/>
                <w:szCs w:val="20"/>
              </w:rPr>
              <w:t>Ostali prihodi</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71E3778B" w14:textId="77777777" w:rsidR="00335946" w:rsidRPr="002A1EDD" w:rsidRDefault="00335946" w:rsidP="00335946">
            <w:pPr>
              <w:jc w:val="right"/>
              <w:rPr>
                <w:color w:val="000000" w:themeColor="text1"/>
                <w:sz w:val="20"/>
                <w:szCs w:val="20"/>
              </w:rPr>
            </w:pPr>
            <w:r w:rsidRPr="002A1EDD">
              <w:rPr>
                <w:color w:val="000000" w:themeColor="text1"/>
                <w:sz w:val="18"/>
                <w:szCs w:val="18"/>
              </w:rPr>
              <w:t>30.000</w:t>
            </w:r>
          </w:p>
        </w:tc>
        <w:tc>
          <w:tcPr>
            <w:tcW w:w="1306" w:type="dxa"/>
            <w:tcBorders>
              <w:top w:val="nil"/>
              <w:left w:val="nil"/>
              <w:bottom w:val="single" w:sz="4" w:space="0" w:color="auto"/>
              <w:right w:val="single" w:sz="4" w:space="0" w:color="auto"/>
            </w:tcBorders>
            <w:shd w:val="clear" w:color="auto" w:fill="auto"/>
            <w:vAlign w:val="center"/>
            <w:hideMark/>
          </w:tcPr>
          <w:p w14:paraId="3E6DF879" w14:textId="77777777" w:rsidR="00335946" w:rsidRPr="002A1EDD" w:rsidRDefault="00335946" w:rsidP="00335946">
            <w:pPr>
              <w:jc w:val="right"/>
              <w:rPr>
                <w:color w:val="000000" w:themeColor="text1"/>
                <w:sz w:val="20"/>
                <w:szCs w:val="20"/>
              </w:rPr>
            </w:pPr>
            <w:r w:rsidRPr="002A1EDD">
              <w:rPr>
                <w:color w:val="000000" w:themeColor="text1"/>
                <w:sz w:val="18"/>
                <w:szCs w:val="18"/>
              </w:rPr>
              <w:t>30.000</w:t>
            </w:r>
          </w:p>
        </w:tc>
        <w:tc>
          <w:tcPr>
            <w:tcW w:w="1215" w:type="dxa"/>
            <w:tcBorders>
              <w:top w:val="nil"/>
              <w:left w:val="nil"/>
              <w:bottom w:val="single" w:sz="4" w:space="0" w:color="auto"/>
              <w:right w:val="single" w:sz="4" w:space="0" w:color="auto"/>
            </w:tcBorders>
            <w:shd w:val="clear" w:color="auto" w:fill="auto"/>
            <w:vAlign w:val="center"/>
            <w:hideMark/>
          </w:tcPr>
          <w:p w14:paraId="1BE1FFDE" w14:textId="77777777" w:rsidR="00335946" w:rsidRPr="002A1EDD" w:rsidRDefault="00335946" w:rsidP="00335946">
            <w:pPr>
              <w:jc w:val="right"/>
              <w:rPr>
                <w:color w:val="000000" w:themeColor="text1"/>
                <w:sz w:val="20"/>
                <w:szCs w:val="20"/>
              </w:rPr>
            </w:pPr>
            <w:r w:rsidRPr="002A1EDD">
              <w:rPr>
                <w:color w:val="000000" w:themeColor="text1"/>
                <w:sz w:val="18"/>
                <w:szCs w:val="18"/>
              </w:rPr>
              <w:t>100,00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4821AD2F" w14:textId="77777777" w:rsidR="00335946" w:rsidRPr="002A1EDD" w:rsidRDefault="00335946" w:rsidP="00335946">
            <w:pPr>
              <w:jc w:val="right"/>
              <w:rPr>
                <w:color w:val="000000" w:themeColor="text1"/>
                <w:sz w:val="20"/>
                <w:szCs w:val="20"/>
              </w:rPr>
            </w:pPr>
            <w:r w:rsidRPr="002A1EDD">
              <w:rPr>
                <w:color w:val="000000" w:themeColor="text1"/>
                <w:sz w:val="18"/>
                <w:szCs w:val="18"/>
              </w:rPr>
              <w:t>30.000</w:t>
            </w:r>
          </w:p>
        </w:tc>
        <w:tc>
          <w:tcPr>
            <w:tcW w:w="1306" w:type="dxa"/>
            <w:tcBorders>
              <w:top w:val="single" w:sz="4" w:space="0" w:color="auto"/>
              <w:left w:val="nil"/>
              <w:bottom w:val="single" w:sz="4" w:space="0" w:color="auto"/>
              <w:right w:val="single" w:sz="4" w:space="0" w:color="auto"/>
            </w:tcBorders>
            <w:shd w:val="clear" w:color="auto" w:fill="D9D9D9"/>
            <w:vAlign w:val="center"/>
          </w:tcPr>
          <w:p w14:paraId="4EFDAD21" w14:textId="77777777" w:rsidR="00335946" w:rsidRPr="002A1EDD" w:rsidRDefault="00335946" w:rsidP="00335946">
            <w:pPr>
              <w:jc w:val="right"/>
              <w:rPr>
                <w:color w:val="000000" w:themeColor="text1"/>
                <w:sz w:val="20"/>
                <w:szCs w:val="20"/>
              </w:rPr>
            </w:pPr>
            <w:r w:rsidRPr="002A1EDD">
              <w:rPr>
                <w:color w:val="000000" w:themeColor="text1"/>
                <w:sz w:val="18"/>
                <w:szCs w:val="18"/>
              </w:rPr>
              <w:t>30.000</w:t>
            </w:r>
          </w:p>
        </w:tc>
      </w:tr>
    </w:tbl>
    <w:p w14:paraId="763DC417" w14:textId="77777777" w:rsidR="00135065" w:rsidRPr="006E0AFE" w:rsidRDefault="00135065" w:rsidP="00A31DD1">
      <w:pPr>
        <w:jc w:val="both"/>
        <w:rPr>
          <w:sz w:val="22"/>
          <w:szCs w:val="22"/>
          <w:highlight w:val="yellow"/>
          <w:lang w:eastAsia="en-US"/>
        </w:rPr>
      </w:pPr>
    </w:p>
    <w:p w14:paraId="3A9893D4" w14:textId="77777777" w:rsidR="00741133" w:rsidRPr="006E0AFE" w:rsidRDefault="00A31DD1" w:rsidP="00A31DD1">
      <w:pPr>
        <w:jc w:val="both"/>
        <w:rPr>
          <w:lang w:eastAsia="en-US"/>
        </w:rPr>
      </w:pPr>
      <w:r w:rsidRPr="006E0AFE">
        <w:rPr>
          <w:lang w:eastAsia="en-US"/>
        </w:rPr>
        <w:t xml:space="preserve">Iz navedenog je razvidno da unutar prihoda poslovanja najveći udio čine prihodi od poreza </w:t>
      </w:r>
      <w:r w:rsidR="00711750" w:rsidRPr="006E0AFE">
        <w:rPr>
          <w:lang w:eastAsia="en-US"/>
        </w:rPr>
        <w:t>(4</w:t>
      </w:r>
      <w:r w:rsidR="00335946" w:rsidRPr="006E0AFE">
        <w:rPr>
          <w:lang w:eastAsia="en-US"/>
        </w:rPr>
        <w:t>5,5</w:t>
      </w:r>
      <w:r w:rsidR="00711750" w:rsidRPr="006E0AFE">
        <w:rPr>
          <w:lang w:eastAsia="en-US"/>
        </w:rPr>
        <w:t>%), a zatim slijede prihodi od pomoći (</w:t>
      </w:r>
      <w:r w:rsidR="00335946" w:rsidRPr="006E0AFE">
        <w:rPr>
          <w:lang w:eastAsia="en-US"/>
        </w:rPr>
        <w:t>31,9</w:t>
      </w:r>
      <w:r w:rsidR="00711750" w:rsidRPr="006E0AFE">
        <w:rPr>
          <w:lang w:eastAsia="en-US"/>
        </w:rPr>
        <w:t xml:space="preserve">%) </w:t>
      </w:r>
      <w:r w:rsidR="007D3D75" w:rsidRPr="006E0AFE">
        <w:rPr>
          <w:lang w:eastAsia="en-US"/>
        </w:rPr>
        <w:t xml:space="preserve">te prihodi od </w:t>
      </w:r>
      <w:r w:rsidR="00711750" w:rsidRPr="006E0AFE">
        <w:rPr>
          <w:lang w:eastAsia="en-US"/>
        </w:rPr>
        <w:t>pristojbi, naknada i ostali prihodi po posebnim namjenama (</w:t>
      </w:r>
      <w:r w:rsidR="009C21CA" w:rsidRPr="006E0AFE">
        <w:rPr>
          <w:lang w:eastAsia="en-US"/>
        </w:rPr>
        <w:t>17,6</w:t>
      </w:r>
      <w:r w:rsidR="00711750" w:rsidRPr="006E0AFE">
        <w:rPr>
          <w:lang w:eastAsia="en-US"/>
        </w:rPr>
        <w:t>%).</w:t>
      </w:r>
      <w:r w:rsidR="007D3D75" w:rsidRPr="006E0AFE">
        <w:rPr>
          <w:lang w:eastAsia="en-US"/>
        </w:rPr>
        <w:t xml:space="preserve"> </w:t>
      </w:r>
    </w:p>
    <w:p w14:paraId="0A6BEE08" w14:textId="77777777" w:rsidR="00536FDC" w:rsidRPr="006E0AFE" w:rsidRDefault="00536FDC" w:rsidP="00A31DD1">
      <w:pPr>
        <w:jc w:val="both"/>
        <w:rPr>
          <w:highlight w:val="yellow"/>
          <w:lang w:eastAsia="en-US"/>
        </w:rPr>
      </w:pPr>
    </w:p>
    <w:p w14:paraId="69975D5B" w14:textId="613C340A" w:rsidR="007D3D75" w:rsidRPr="002A1EDD" w:rsidRDefault="009C21CA" w:rsidP="00A31DD1">
      <w:pPr>
        <w:jc w:val="both"/>
        <w:rPr>
          <w:color w:val="000000" w:themeColor="text1"/>
          <w:lang w:eastAsia="en-US"/>
        </w:rPr>
      </w:pPr>
      <w:r w:rsidRPr="002A1EDD">
        <w:rPr>
          <w:b/>
          <w:color w:val="000000" w:themeColor="text1"/>
          <w:u w:val="single"/>
          <w:lang w:eastAsia="en-US"/>
        </w:rPr>
        <w:t>1</w:t>
      </w:r>
      <w:r w:rsidR="00AE4422" w:rsidRPr="002A1EDD">
        <w:rPr>
          <w:b/>
          <w:color w:val="000000" w:themeColor="text1"/>
          <w:u w:val="single"/>
          <w:lang w:eastAsia="en-US"/>
        </w:rPr>
        <w:t>.A</w:t>
      </w:r>
      <w:r w:rsidR="00DF228A" w:rsidRPr="002A1EDD">
        <w:rPr>
          <w:b/>
          <w:color w:val="000000" w:themeColor="text1"/>
          <w:u w:val="single"/>
          <w:lang w:eastAsia="en-US"/>
        </w:rPr>
        <w:t>.</w:t>
      </w:r>
      <w:r w:rsidRPr="002A1EDD">
        <w:rPr>
          <w:b/>
          <w:color w:val="000000" w:themeColor="text1"/>
          <w:u w:val="single"/>
          <w:lang w:eastAsia="en-US"/>
        </w:rPr>
        <w:t xml:space="preserve"> </w:t>
      </w:r>
      <w:r w:rsidR="00741133" w:rsidRPr="002A1EDD">
        <w:rPr>
          <w:b/>
          <w:color w:val="000000" w:themeColor="text1"/>
          <w:u w:val="single"/>
          <w:lang w:eastAsia="en-US"/>
        </w:rPr>
        <w:t>Prihodi od poreza</w:t>
      </w:r>
      <w:r w:rsidR="00741133" w:rsidRPr="002A1EDD">
        <w:rPr>
          <w:b/>
          <w:color w:val="000000" w:themeColor="text1"/>
          <w:lang w:eastAsia="en-US"/>
        </w:rPr>
        <w:t xml:space="preserve"> </w:t>
      </w:r>
      <w:r w:rsidR="00741133" w:rsidRPr="002A1EDD">
        <w:rPr>
          <w:color w:val="000000" w:themeColor="text1"/>
          <w:lang w:eastAsia="en-US"/>
        </w:rPr>
        <w:t xml:space="preserve">obuhvaćaju </w:t>
      </w:r>
      <w:r w:rsidR="00741133" w:rsidRPr="002A1EDD">
        <w:rPr>
          <w:color w:val="000000" w:themeColor="text1"/>
          <w:u w:val="single"/>
          <w:lang w:eastAsia="en-US"/>
        </w:rPr>
        <w:t>poreze koji su isključivi prihod Općine</w:t>
      </w:r>
      <w:r w:rsidR="00741133" w:rsidRPr="002A1EDD">
        <w:rPr>
          <w:color w:val="000000" w:themeColor="text1"/>
          <w:lang w:eastAsia="en-US"/>
        </w:rPr>
        <w:t xml:space="preserve"> propisani Odlukom o porezima i to: porez na korištenje javnih površina, porez na kuću za odmor (15 kn po m</w:t>
      </w:r>
      <w:r w:rsidR="00741133" w:rsidRPr="002A1EDD">
        <w:rPr>
          <w:color w:val="000000" w:themeColor="text1"/>
          <w:vertAlign w:val="superscript"/>
          <w:lang w:eastAsia="en-US"/>
        </w:rPr>
        <w:t>2</w:t>
      </w:r>
      <w:r w:rsidR="00741133" w:rsidRPr="002A1EDD">
        <w:rPr>
          <w:color w:val="000000" w:themeColor="text1"/>
          <w:lang w:eastAsia="en-US"/>
        </w:rPr>
        <w:t xml:space="preserve"> godišnje) i prirez porezu na dohodak (10%) i porez na promet nekretnina (3%) kao i </w:t>
      </w:r>
      <w:r w:rsidR="00741133" w:rsidRPr="002A1EDD">
        <w:rPr>
          <w:color w:val="000000" w:themeColor="text1"/>
          <w:u w:val="single"/>
          <w:lang w:eastAsia="en-US"/>
        </w:rPr>
        <w:t>zajedničke poreze</w:t>
      </w:r>
      <w:r w:rsidR="00741133" w:rsidRPr="002A1EDD">
        <w:rPr>
          <w:color w:val="000000" w:themeColor="text1"/>
          <w:lang w:eastAsia="en-US"/>
        </w:rPr>
        <w:t xml:space="preserve"> proračuna Općine i Županije (porez na dohodak </w:t>
      </w:r>
      <w:r w:rsidR="00335946" w:rsidRPr="002A1EDD">
        <w:rPr>
          <w:color w:val="000000" w:themeColor="text1"/>
          <w:lang w:eastAsia="en-US"/>
        </w:rPr>
        <w:t xml:space="preserve">u kojem općina ima u ovome trenutku udio od </w:t>
      </w:r>
      <w:r w:rsidR="00741133" w:rsidRPr="002A1EDD">
        <w:rPr>
          <w:color w:val="000000" w:themeColor="text1"/>
          <w:lang w:eastAsia="en-US"/>
        </w:rPr>
        <w:t>60%</w:t>
      </w:r>
      <w:r w:rsidR="00335946" w:rsidRPr="002A1EDD">
        <w:rPr>
          <w:color w:val="000000" w:themeColor="text1"/>
          <w:lang w:eastAsia="en-US"/>
        </w:rPr>
        <w:t>, a prema prijedlogu izmjena Zakona imala bi udio od 74%)</w:t>
      </w:r>
      <w:r w:rsidR="00741133" w:rsidRPr="002A1EDD">
        <w:rPr>
          <w:color w:val="000000" w:themeColor="text1"/>
          <w:lang w:eastAsia="en-US"/>
        </w:rPr>
        <w:t xml:space="preserve">. Za </w:t>
      </w:r>
      <w:r w:rsidR="00055F66" w:rsidRPr="002A1EDD">
        <w:rPr>
          <w:color w:val="000000" w:themeColor="text1"/>
          <w:lang w:eastAsia="en-US"/>
        </w:rPr>
        <w:t>2021</w:t>
      </w:r>
      <w:r w:rsidR="00741133" w:rsidRPr="002A1EDD">
        <w:rPr>
          <w:color w:val="000000" w:themeColor="text1"/>
          <w:lang w:eastAsia="en-US"/>
        </w:rPr>
        <w:t>.</w:t>
      </w:r>
      <w:r w:rsidR="00B14C68" w:rsidRPr="002A1EDD">
        <w:rPr>
          <w:color w:val="000000" w:themeColor="text1"/>
          <w:lang w:eastAsia="en-US"/>
        </w:rPr>
        <w:t xml:space="preserve"> </w:t>
      </w:r>
      <w:r w:rsidR="00741133" w:rsidRPr="002A1EDD">
        <w:rPr>
          <w:color w:val="000000" w:themeColor="text1"/>
          <w:lang w:eastAsia="en-US"/>
        </w:rPr>
        <w:t xml:space="preserve">godinu planirano je </w:t>
      </w:r>
      <w:r w:rsidR="00B14C68" w:rsidRPr="002A1EDD">
        <w:rPr>
          <w:color w:val="000000" w:themeColor="text1"/>
          <w:lang w:eastAsia="en-US"/>
        </w:rPr>
        <w:t>blago povećanje</w:t>
      </w:r>
      <w:r w:rsidR="00A31DD1" w:rsidRPr="002A1EDD">
        <w:rPr>
          <w:color w:val="000000" w:themeColor="text1"/>
          <w:lang w:eastAsia="en-US"/>
        </w:rPr>
        <w:t xml:space="preserve"> </w:t>
      </w:r>
      <w:r w:rsidR="00A31DD1" w:rsidRPr="002A1EDD">
        <w:rPr>
          <w:color w:val="000000" w:themeColor="text1"/>
          <w:u w:val="single"/>
          <w:lang w:eastAsia="en-US"/>
        </w:rPr>
        <w:t>poreznih prihoda</w:t>
      </w:r>
      <w:r w:rsidR="00A31DD1" w:rsidRPr="002A1EDD">
        <w:rPr>
          <w:color w:val="000000" w:themeColor="text1"/>
          <w:lang w:eastAsia="en-US"/>
        </w:rPr>
        <w:t xml:space="preserve"> </w:t>
      </w:r>
      <w:r w:rsidR="00B1415A" w:rsidRPr="002A1EDD">
        <w:rPr>
          <w:color w:val="000000" w:themeColor="text1"/>
          <w:lang w:eastAsia="en-US"/>
        </w:rPr>
        <w:t>(+7,7</w:t>
      </w:r>
      <w:r w:rsidR="00A31DD1" w:rsidRPr="002A1EDD">
        <w:rPr>
          <w:color w:val="000000" w:themeColor="text1"/>
          <w:lang w:eastAsia="en-US"/>
        </w:rPr>
        <w:t xml:space="preserve">%) prvenstveno kod poreza </w:t>
      </w:r>
      <w:r w:rsidR="007D3D75" w:rsidRPr="002A1EDD">
        <w:rPr>
          <w:color w:val="000000" w:themeColor="text1"/>
          <w:lang w:eastAsia="en-US"/>
        </w:rPr>
        <w:t>i prireza na dohodak (</w:t>
      </w:r>
      <w:r w:rsidR="00B1415A" w:rsidRPr="002A1EDD">
        <w:rPr>
          <w:color w:val="000000" w:themeColor="text1"/>
          <w:lang w:eastAsia="en-US"/>
        </w:rPr>
        <w:t>8</w:t>
      </w:r>
      <w:r w:rsidR="007D3D75" w:rsidRPr="002A1EDD">
        <w:rPr>
          <w:color w:val="000000" w:themeColor="text1"/>
          <w:lang w:eastAsia="en-US"/>
        </w:rPr>
        <w:t xml:space="preserve">%) uzimajući u obzir da je u </w:t>
      </w:r>
      <w:r w:rsidR="00055F66" w:rsidRPr="002A1EDD">
        <w:rPr>
          <w:color w:val="000000" w:themeColor="text1"/>
          <w:lang w:eastAsia="en-US"/>
        </w:rPr>
        <w:t>2020</w:t>
      </w:r>
      <w:r w:rsidR="007D3D75" w:rsidRPr="002A1EDD">
        <w:rPr>
          <w:color w:val="000000" w:themeColor="text1"/>
          <w:lang w:eastAsia="en-US"/>
        </w:rPr>
        <w:t>.</w:t>
      </w:r>
      <w:r w:rsidR="00B14C68" w:rsidRPr="002A1EDD">
        <w:rPr>
          <w:color w:val="000000" w:themeColor="text1"/>
          <w:lang w:eastAsia="en-US"/>
        </w:rPr>
        <w:t xml:space="preserve"> </w:t>
      </w:r>
      <w:r w:rsidR="007D3D75" w:rsidRPr="002A1EDD">
        <w:rPr>
          <w:color w:val="000000" w:themeColor="text1"/>
          <w:lang w:eastAsia="en-US"/>
        </w:rPr>
        <w:t xml:space="preserve">godini </w:t>
      </w:r>
      <w:r w:rsidR="00B1415A" w:rsidRPr="002A1EDD">
        <w:rPr>
          <w:color w:val="000000" w:themeColor="text1"/>
          <w:lang w:eastAsia="en-US"/>
        </w:rPr>
        <w:t xml:space="preserve">na naplatu znatno utjecala </w:t>
      </w:r>
      <w:r w:rsidR="00B14C68" w:rsidRPr="002A1EDD">
        <w:rPr>
          <w:color w:val="000000" w:themeColor="text1"/>
          <w:lang w:eastAsia="en-US"/>
        </w:rPr>
        <w:t>epidemija</w:t>
      </w:r>
      <w:r w:rsidR="00B1415A" w:rsidRPr="002A1EDD">
        <w:rPr>
          <w:color w:val="000000" w:themeColor="text1"/>
          <w:lang w:eastAsia="en-US"/>
        </w:rPr>
        <w:t xml:space="preserve"> koja je praktički trajala gotovo cijelu godinu. Prihodi od poreza i prireza planirani su na osnovi raspoloživih informacija dobivenih od strane Ministarstva financija pod pretpostavkama da se usvoje zakoni koji su u proceduri te da se projekcije Vlade RH pokažu točnima. </w:t>
      </w:r>
      <w:r w:rsidR="00B1415A" w:rsidRPr="002A1EDD">
        <w:rPr>
          <w:b/>
          <w:bCs/>
          <w:color w:val="000000" w:themeColor="text1"/>
          <w:lang w:eastAsia="en-US"/>
        </w:rPr>
        <w:t>Međutim</w:t>
      </w:r>
      <w:r w:rsidR="00B14C68" w:rsidRPr="002A1EDD">
        <w:rPr>
          <w:b/>
          <w:bCs/>
          <w:color w:val="000000" w:themeColor="text1"/>
          <w:lang w:eastAsia="en-US"/>
        </w:rPr>
        <w:t>,</w:t>
      </w:r>
      <w:r w:rsidR="00B1415A" w:rsidRPr="002A1EDD">
        <w:rPr>
          <w:b/>
          <w:bCs/>
          <w:color w:val="000000" w:themeColor="text1"/>
          <w:lang w:eastAsia="en-US"/>
        </w:rPr>
        <w:t xml:space="preserve"> valja naglasiti da unatoč planiranom povećanju, prihodi od p</w:t>
      </w:r>
      <w:r w:rsidR="00FB1F57" w:rsidRPr="002A1EDD">
        <w:rPr>
          <w:b/>
          <w:bCs/>
          <w:color w:val="000000" w:themeColor="text1"/>
          <w:lang w:eastAsia="en-US"/>
        </w:rPr>
        <w:t xml:space="preserve">oreza i prireza na dohodak kako </w:t>
      </w:r>
      <w:r w:rsidR="00B1415A" w:rsidRPr="002A1EDD">
        <w:rPr>
          <w:b/>
          <w:bCs/>
          <w:color w:val="000000" w:themeColor="text1"/>
          <w:lang w:eastAsia="en-US"/>
        </w:rPr>
        <w:t>u 2021.</w:t>
      </w:r>
      <w:r w:rsidR="00B14C68" w:rsidRPr="002A1EDD">
        <w:rPr>
          <w:b/>
          <w:bCs/>
          <w:color w:val="000000" w:themeColor="text1"/>
          <w:lang w:eastAsia="en-US"/>
        </w:rPr>
        <w:t xml:space="preserve"> g</w:t>
      </w:r>
      <w:r w:rsidR="00B1415A" w:rsidRPr="002A1EDD">
        <w:rPr>
          <w:b/>
          <w:bCs/>
          <w:color w:val="000000" w:themeColor="text1"/>
          <w:lang w:eastAsia="en-US"/>
        </w:rPr>
        <w:t>odini</w:t>
      </w:r>
      <w:r w:rsidR="00D828F5" w:rsidRPr="002A1EDD">
        <w:rPr>
          <w:b/>
          <w:bCs/>
          <w:color w:val="000000" w:themeColor="text1"/>
          <w:lang w:eastAsia="en-US"/>
        </w:rPr>
        <w:t xml:space="preserve">, tako i 2022. i 2023. godini, i </w:t>
      </w:r>
      <w:r w:rsidR="00B1415A" w:rsidRPr="002A1EDD">
        <w:rPr>
          <w:b/>
          <w:bCs/>
          <w:color w:val="000000" w:themeColor="text1"/>
          <w:lang w:eastAsia="en-US"/>
        </w:rPr>
        <w:t>dalje su značajno niži od posljednje „normalne“ 2019.</w:t>
      </w:r>
      <w:r w:rsidR="00B14C68" w:rsidRPr="002A1EDD">
        <w:rPr>
          <w:b/>
          <w:bCs/>
          <w:color w:val="000000" w:themeColor="text1"/>
          <w:lang w:eastAsia="en-US"/>
        </w:rPr>
        <w:t xml:space="preserve"> </w:t>
      </w:r>
      <w:r w:rsidR="00B1415A" w:rsidRPr="002A1EDD">
        <w:rPr>
          <w:b/>
          <w:bCs/>
          <w:color w:val="000000" w:themeColor="text1"/>
          <w:lang w:eastAsia="en-US"/>
        </w:rPr>
        <w:t>godine (2021</w:t>
      </w:r>
      <w:r w:rsidR="00B14C68" w:rsidRPr="002A1EDD">
        <w:rPr>
          <w:b/>
          <w:bCs/>
          <w:color w:val="000000" w:themeColor="text1"/>
          <w:lang w:eastAsia="en-US"/>
        </w:rPr>
        <w:t>.</w:t>
      </w:r>
      <w:r w:rsidR="00B1415A" w:rsidRPr="002A1EDD">
        <w:rPr>
          <w:b/>
          <w:bCs/>
          <w:color w:val="000000" w:themeColor="text1"/>
          <w:lang w:eastAsia="en-US"/>
        </w:rPr>
        <w:t xml:space="preserve"> u odnosu na 2019. = - </w:t>
      </w:r>
      <w:r w:rsidR="002A1EDD" w:rsidRPr="002A1EDD">
        <w:rPr>
          <w:b/>
          <w:bCs/>
          <w:color w:val="000000" w:themeColor="text1"/>
          <w:lang w:eastAsia="en-US"/>
        </w:rPr>
        <w:t>5</w:t>
      </w:r>
      <w:r w:rsidR="00B1415A" w:rsidRPr="002A1EDD">
        <w:rPr>
          <w:b/>
          <w:bCs/>
          <w:color w:val="000000" w:themeColor="text1"/>
          <w:lang w:eastAsia="en-US"/>
        </w:rPr>
        <w:t>.</w:t>
      </w:r>
      <w:r w:rsidR="002A1EDD" w:rsidRPr="002A1EDD">
        <w:rPr>
          <w:b/>
          <w:bCs/>
          <w:color w:val="000000" w:themeColor="text1"/>
          <w:lang w:eastAsia="en-US"/>
        </w:rPr>
        <w:t>200</w:t>
      </w:r>
      <w:r w:rsidR="00B1415A" w:rsidRPr="002A1EDD">
        <w:rPr>
          <w:b/>
          <w:bCs/>
          <w:color w:val="000000" w:themeColor="text1"/>
          <w:lang w:eastAsia="en-US"/>
        </w:rPr>
        <w:t>.000 kn)</w:t>
      </w:r>
      <w:r w:rsidR="007D3D75" w:rsidRPr="002A1EDD">
        <w:rPr>
          <w:b/>
          <w:bCs/>
          <w:color w:val="000000" w:themeColor="text1"/>
          <w:lang w:eastAsia="en-US"/>
        </w:rPr>
        <w:t>.</w:t>
      </w:r>
      <w:r w:rsidR="007D3D75" w:rsidRPr="002A1EDD">
        <w:rPr>
          <w:color w:val="000000" w:themeColor="text1"/>
          <w:lang w:eastAsia="en-US"/>
        </w:rPr>
        <w:t xml:space="preserve"> </w:t>
      </w:r>
      <w:r w:rsidR="002C6855" w:rsidRPr="002A1EDD">
        <w:rPr>
          <w:color w:val="000000" w:themeColor="text1"/>
          <w:lang w:eastAsia="en-US"/>
        </w:rPr>
        <w:t xml:space="preserve">I kod </w:t>
      </w:r>
      <w:r w:rsidR="00621203" w:rsidRPr="002A1EDD">
        <w:rPr>
          <w:color w:val="000000" w:themeColor="text1"/>
          <w:lang w:eastAsia="en-US"/>
        </w:rPr>
        <w:t xml:space="preserve">ostalih </w:t>
      </w:r>
      <w:r w:rsidR="002C6855" w:rsidRPr="002A1EDD">
        <w:rPr>
          <w:color w:val="000000" w:themeColor="text1"/>
          <w:lang w:eastAsia="en-US"/>
        </w:rPr>
        <w:t>poreznih prihoda</w:t>
      </w:r>
      <w:r w:rsidR="00621203" w:rsidRPr="002A1EDD">
        <w:rPr>
          <w:color w:val="000000" w:themeColor="text1"/>
          <w:lang w:eastAsia="en-US"/>
        </w:rPr>
        <w:t xml:space="preserve"> </w:t>
      </w:r>
      <w:r w:rsidR="00D828F5" w:rsidRPr="002A1EDD">
        <w:rPr>
          <w:color w:val="000000" w:themeColor="text1"/>
          <w:lang w:eastAsia="en-US"/>
        </w:rPr>
        <w:t xml:space="preserve">planira se </w:t>
      </w:r>
      <w:r w:rsidR="00621203" w:rsidRPr="002A1EDD">
        <w:rPr>
          <w:color w:val="000000" w:themeColor="text1"/>
          <w:lang w:eastAsia="en-US"/>
        </w:rPr>
        <w:t>po</w:t>
      </w:r>
      <w:r w:rsidR="007D3D75" w:rsidRPr="002A1EDD">
        <w:rPr>
          <w:color w:val="000000" w:themeColor="text1"/>
          <w:lang w:eastAsia="en-US"/>
        </w:rPr>
        <w:t xml:space="preserve">rast </w:t>
      </w:r>
      <w:r w:rsidR="00621203" w:rsidRPr="002A1EDD">
        <w:rPr>
          <w:color w:val="000000" w:themeColor="text1"/>
          <w:lang w:eastAsia="en-US"/>
        </w:rPr>
        <w:t>u odnosu na 2020.</w:t>
      </w:r>
      <w:r w:rsidR="00D828F5" w:rsidRPr="002A1EDD">
        <w:rPr>
          <w:color w:val="000000" w:themeColor="text1"/>
          <w:lang w:eastAsia="en-US"/>
        </w:rPr>
        <w:t xml:space="preserve"> </w:t>
      </w:r>
      <w:r w:rsidR="00621203" w:rsidRPr="002A1EDD">
        <w:rPr>
          <w:color w:val="000000" w:themeColor="text1"/>
          <w:lang w:eastAsia="en-US"/>
        </w:rPr>
        <w:t>godinu</w:t>
      </w:r>
      <w:r w:rsidR="00E178A8" w:rsidRPr="002A1EDD">
        <w:rPr>
          <w:color w:val="000000" w:themeColor="text1"/>
          <w:lang w:eastAsia="en-US"/>
        </w:rPr>
        <w:t>,</w:t>
      </w:r>
      <w:r w:rsidR="00621203" w:rsidRPr="002A1EDD">
        <w:rPr>
          <w:color w:val="000000" w:themeColor="text1"/>
          <w:lang w:eastAsia="en-US"/>
        </w:rPr>
        <w:t xml:space="preserve"> ali neznatno u apsolutnim iznosima</w:t>
      </w:r>
      <w:r w:rsidR="00D828F5" w:rsidRPr="002A1EDD">
        <w:rPr>
          <w:color w:val="000000" w:themeColor="text1"/>
          <w:lang w:eastAsia="en-US"/>
        </w:rPr>
        <w:t>,</w:t>
      </w:r>
      <w:r w:rsidR="00621203" w:rsidRPr="002A1EDD">
        <w:rPr>
          <w:color w:val="000000" w:themeColor="text1"/>
          <w:lang w:eastAsia="en-US"/>
        </w:rPr>
        <w:t xml:space="preserve"> i to kod </w:t>
      </w:r>
      <w:r w:rsidR="007D3D75" w:rsidRPr="002A1EDD">
        <w:rPr>
          <w:color w:val="000000" w:themeColor="text1"/>
          <w:lang w:eastAsia="en-US"/>
        </w:rPr>
        <w:t>poreza na promet nekretnina (+</w:t>
      </w:r>
      <w:r w:rsidR="00621203" w:rsidRPr="002A1EDD">
        <w:rPr>
          <w:color w:val="000000" w:themeColor="text1"/>
          <w:lang w:eastAsia="en-US"/>
        </w:rPr>
        <w:t>1</w:t>
      </w:r>
      <w:r w:rsidR="007D3D75" w:rsidRPr="002A1EDD">
        <w:rPr>
          <w:color w:val="000000" w:themeColor="text1"/>
          <w:lang w:eastAsia="en-US"/>
        </w:rPr>
        <w:t>,</w:t>
      </w:r>
      <w:r w:rsidR="00621203" w:rsidRPr="002A1EDD">
        <w:rPr>
          <w:color w:val="000000" w:themeColor="text1"/>
          <w:lang w:eastAsia="en-US"/>
        </w:rPr>
        <w:t>5</w:t>
      </w:r>
      <w:r w:rsidR="007D3D75" w:rsidRPr="002A1EDD">
        <w:rPr>
          <w:color w:val="000000" w:themeColor="text1"/>
          <w:lang w:eastAsia="en-US"/>
        </w:rPr>
        <w:t>%)</w:t>
      </w:r>
      <w:r w:rsidR="00621203" w:rsidRPr="002A1EDD">
        <w:rPr>
          <w:color w:val="000000" w:themeColor="text1"/>
          <w:lang w:eastAsia="en-US"/>
        </w:rPr>
        <w:t xml:space="preserve">, kod poreza na potrošnju </w:t>
      </w:r>
      <w:r w:rsidR="002C6855" w:rsidRPr="002A1EDD">
        <w:rPr>
          <w:color w:val="000000" w:themeColor="text1"/>
          <w:lang w:eastAsia="en-US"/>
        </w:rPr>
        <w:t>(</w:t>
      </w:r>
      <w:r w:rsidR="00621203" w:rsidRPr="002A1EDD">
        <w:rPr>
          <w:color w:val="000000" w:themeColor="text1"/>
          <w:lang w:eastAsia="en-US"/>
        </w:rPr>
        <w:t>40%</w:t>
      </w:r>
      <w:r w:rsidR="002C6855" w:rsidRPr="002A1EDD">
        <w:rPr>
          <w:color w:val="000000" w:themeColor="text1"/>
          <w:lang w:eastAsia="en-US"/>
        </w:rPr>
        <w:t>)</w:t>
      </w:r>
      <w:r w:rsidR="00621203" w:rsidRPr="002A1EDD">
        <w:rPr>
          <w:color w:val="000000" w:themeColor="text1"/>
          <w:lang w:eastAsia="en-US"/>
        </w:rPr>
        <w:t xml:space="preserve">, kod poreza na kuće za odmor </w:t>
      </w:r>
      <w:r w:rsidR="002C6855" w:rsidRPr="002A1EDD">
        <w:rPr>
          <w:color w:val="000000" w:themeColor="text1"/>
          <w:lang w:eastAsia="en-US"/>
        </w:rPr>
        <w:t>(</w:t>
      </w:r>
      <w:r w:rsidR="00621203" w:rsidRPr="002A1EDD">
        <w:rPr>
          <w:color w:val="000000" w:themeColor="text1"/>
          <w:lang w:eastAsia="en-US"/>
        </w:rPr>
        <w:t>33%</w:t>
      </w:r>
      <w:r w:rsidR="002C6855" w:rsidRPr="002A1EDD">
        <w:rPr>
          <w:color w:val="000000" w:themeColor="text1"/>
          <w:lang w:eastAsia="en-US"/>
        </w:rPr>
        <w:t>)</w:t>
      </w:r>
      <w:r w:rsidR="00621203" w:rsidRPr="002A1EDD">
        <w:rPr>
          <w:color w:val="000000" w:themeColor="text1"/>
          <w:lang w:eastAsia="en-US"/>
        </w:rPr>
        <w:t xml:space="preserve"> te kod poreza na korištenje javne površine (100%). Što se tiče poreza na korištenja javnih površina kod kojeg se planira najviše postotno povećanje isto je vezano uz izmjen</w:t>
      </w:r>
      <w:r w:rsidR="002C6855" w:rsidRPr="002A1EDD">
        <w:rPr>
          <w:color w:val="000000" w:themeColor="text1"/>
          <w:lang w:eastAsia="en-US"/>
        </w:rPr>
        <w:t>e</w:t>
      </w:r>
      <w:r w:rsidR="00621203" w:rsidRPr="002A1EDD">
        <w:rPr>
          <w:color w:val="000000" w:themeColor="text1"/>
          <w:lang w:eastAsia="en-US"/>
        </w:rPr>
        <w:t xml:space="preserve"> odluke o lokalnim porezima kojom su uvedeni neki novi oblici oporezivanja te korigirana visina poreza za pojedine namjene</w:t>
      </w:r>
      <w:r w:rsidR="007D3D75" w:rsidRPr="002A1EDD">
        <w:rPr>
          <w:color w:val="000000" w:themeColor="text1"/>
          <w:lang w:eastAsia="en-US"/>
        </w:rPr>
        <w:t>.</w:t>
      </w:r>
    </w:p>
    <w:p w14:paraId="6EE54B97" w14:textId="77777777" w:rsidR="00B1415A" w:rsidRPr="006E0AFE" w:rsidRDefault="00B1415A" w:rsidP="00B1415A">
      <w:pPr>
        <w:jc w:val="both"/>
        <w:rPr>
          <w:rFonts w:eastAsia="Calibri"/>
          <w:bCs/>
        </w:rPr>
      </w:pPr>
      <w:r w:rsidRPr="006E0AFE">
        <w:rPr>
          <w:lang w:eastAsia="en-US"/>
        </w:rPr>
        <w:t xml:space="preserve">U </w:t>
      </w:r>
      <w:r w:rsidRPr="006E0AFE">
        <w:rPr>
          <w:b/>
          <w:lang w:eastAsia="en-US"/>
        </w:rPr>
        <w:t>projekciji za 2022. i 2023. godinu</w:t>
      </w:r>
      <w:r w:rsidRPr="006E0AFE">
        <w:rPr>
          <w:lang w:eastAsia="en-US"/>
        </w:rPr>
        <w:t xml:space="preserve"> planira se postupno povećanje prihoda od poreza i prireza na dohodak radi očekivanog rasta gospodarstva</w:t>
      </w:r>
      <w:r w:rsidR="00D828F5" w:rsidRPr="006E0AFE">
        <w:rPr>
          <w:lang w:eastAsia="en-US"/>
        </w:rPr>
        <w:t>,</w:t>
      </w:r>
      <w:r w:rsidRPr="006E0AFE">
        <w:rPr>
          <w:lang w:eastAsia="en-US"/>
        </w:rPr>
        <w:t xml:space="preserve"> a time i povećanje broja zaposlenih te </w:t>
      </w:r>
      <w:r w:rsidR="002C6855" w:rsidRPr="006E0AFE">
        <w:rPr>
          <w:lang w:eastAsia="en-US"/>
        </w:rPr>
        <w:t>dohotka</w:t>
      </w:r>
      <w:r w:rsidRPr="006E0AFE">
        <w:rPr>
          <w:lang w:eastAsia="en-US"/>
        </w:rPr>
        <w:t xml:space="preserve">. Također se planira porast prihoda od poreza na potrošnju i poreza na promet nekretnina. </w:t>
      </w:r>
    </w:p>
    <w:p w14:paraId="6D91D065" w14:textId="77777777" w:rsidR="00B1415A" w:rsidRPr="006E0AFE" w:rsidRDefault="00B1415A" w:rsidP="00A31DD1">
      <w:pPr>
        <w:jc w:val="both"/>
        <w:rPr>
          <w:highlight w:val="yellow"/>
          <w:lang w:eastAsia="en-US"/>
        </w:rPr>
      </w:pPr>
    </w:p>
    <w:p w14:paraId="0DF4AC4E" w14:textId="377FCFE6" w:rsidR="00210339" w:rsidRPr="006E0AFE" w:rsidRDefault="00210339" w:rsidP="00210339">
      <w:pPr>
        <w:jc w:val="both"/>
        <w:rPr>
          <w:highlight w:val="yellow"/>
          <w:lang w:eastAsia="en-US"/>
        </w:rPr>
      </w:pPr>
      <w:r w:rsidRPr="006E0AFE">
        <w:rPr>
          <w:b/>
          <w:lang w:eastAsia="en-US"/>
        </w:rPr>
        <w:lastRenderedPageBreak/>
        <w:t>1</w:t>
      </w:r>
      <w:r w:rsidR="00DF228A" w:rsidRPr="006E0AFE">
        <w:rPr>
          <w:b/>
          <w:lang w:eastAsia="en-US"/>
        </w:rPr>
        <w:t>.</w:t>
      </w:r>
      <w:r w:rsidR="00AE4422" w:rsidRPr="006E0AFE">
        <w:rPr>
          <w:b/>
          <w:lang w:eastAsia="en-US"/>
        </w:rPr>
        <w:t>B</w:t>
      </w:r>
      <w:r w:rsidR="00DF228A" w:rsidRPr="006E0AFE">
        <w:rPr>
          <w:b/>
          <w:lang w:eastAsia="en-US"/>
        </w:rPr>
        <w:t>.</w:t>
      </w:r>
      <w:r w:rsidRPr="006E0AFE">
        <w:rPr>
          <w:lang w:eastAsia="en-US"/>
        </w:rPr>
        <w:t xml:space="preserve"> </w:t>
      </w:r>
      <w:r w:rsidRPr="006E0AFE">
        <w:rPr>
          <w:b/>
          <w:lang w:eastAsia="en-US"/>
        </w:rPr>
        <w:t>Prihodi od pomoći</w:t>
      </w:r>
      <w:r w:rsidRPr="006E0AFE">
        <w:rPr>
          <w:lang w:eastAsia="en-US"/>
        </w:rPr>
        <w:t xml:space="preserve"> uključuju </w:t>
      </w:r>
      <w:r w:rsidRPr="006E0AFE">
        <w:rPr>
          <w:u w:val="single"/>
          <w:lang w:eastAsia="en-US"/>
        </w:rPr>
        <w:t>prihode od pomoći međunarodnih institucija i tijela EU</w:t>
      </w:r>
      <w:r w:rsidRPr="006E0AFE">
        <w:rPr>
          <w:lang w:eastAsia="en-US"/>
        </w:rPr>
        <w:t>,</w:t>
      </w:r>
      <w:r w:rsidRPr="006E0AFE">
        <w:rPr>
          <w:b/>
          <w:lang w:eastAsia="en-US"/>
        </w:rPr>
        <w:t xml:space="preserve"> </w:t>
      </w:r>
      <w:r w:rsidRPr="006E0AFE">
        <w:rPr>
          <w:u w:val="single"/>
          <w:lang w:eastAsia="en-US"/>
        </w:rPr>
        <w:t>pomoći iz drugih proračuna</w:t>
      </w:r>
      <w:r w:rsidRPr="006E0AFE">
        <w:rPr>
          <w:lang w:eastAsia="en-US"/>
        </w:rPr>
        <w:t xml:space="preserve"> (pomoći iz županijskog proračuna za kapitalna ulaganja, Fond</w:t>
      </w:r>
      <w:r w:rsidR="00996A25" w:rsidRPr="006E0AFE">
        <w:rPr>
          <w:lang w:eastAsia="en-US"/>
        </w:rPr>
        <w:t>a za zaštitu okoliša, m</w:t>
      </w:r>
      <w:r w:rsidRPr="006E0AFE">
        <w:rPr>
          <w:lang w:eastAsia="en-US"/>
        </w:rPr>
        <w:t>inistarstva i dr</w:t>
      </w:r>
      <w:r w:rsidR="009178D2" w:rsidRPr="006E0AFE">
        <w:rPr>
          <w:lang w:eastAsia="en-US"/>
        </w:rPr>
        <w:t>.</w:t>
      </w:r>
      <w:r w:rsidRPr="006E0AFE">
        <w:rPr>
          <w:lang w:eastAsia="en-US"/>
        </w:rPr>
        <w:t xml:space="preserve">), </w:t>
      </w:r>
      <w:r w:rsidRPr="006E0AFE">
        <w:rPr>
          <w:u w:val="single"/>
          <w:lang w:eastAsia="en-US"/>
        </w:rPr>
        <w:t>pomoći izravnanja za decentralizirane funkcije</w:t>
      </w:r>
      <w:r w:rsidRPr="006E0AFE">
        <w:rPr>
          <w:lang w:eastAsia="en-US"/>
        </w:rPr>
        <w:t xml:space="preserve"> (ovise o visini ostvarenog dijela prihoda od poreza na dohodak z</w:t>
      </w:r>
      <w:r w:rsidR="00996A25" w:rsidRPr="006E0AFE">
        <w:rPr>
          <w:lang w:eastAsia="en-US"/>
        </w:rPr>
        <w:t xml:space="preserve">a decentralizirane funkcije te </w:t>
      </w:r>
      <w:r w:rsidRPr="006E0AFE">
        <w:rPr>
          <w:lang w:eastAsia="en-US"/>
        </w:rPr>
        <w:t xml:space="preserve">Uredbe Vlade RH o rasporedu sredstava za decentralizirane funkcije odnosno iznos određen za financiranje minimalnih standarda vatrogastva) te </w:t>
      </w:r>
      <w:r w:rsidRPr="006E0AFE">
        <w:rPr>
          <w:u w:val="single"/>
          <w:lang w:eastAsia="en-US"/>
        </w:rPr>
        <w:t>pomoći proračunskim korisnicima iz nenadležnog proračuna</w:t>
      </w:r>
      <w:r w:rsidRPr="006E0AFE">
        <w:rPr>
          <w:lang w:eastAsia="en-US"/>
        </w:rPr>
        <w:t xml:space="preserve"> (obuhvaćaju sredstva općina, gradova i ministarstava namijenjenih programima i projektima proračunskih korisnika). </w:t>
      </w:r>
      <w:r w:rsidR="002C6855" w:rsidRPr="006E0AFE">
        <w:rPr>
          <w:b/>
          <w:bCs/>
          <w:lang w:eastAsia="en-US"/>
        </w:rPr>
        <w:t>Proračunom za 2021.</w:t>
      </w:r>
      <w:r w:rsidR="00996A25" w:rsidRPr="006E0AFE">
        <w:rPr>
          <w:b/>
          <w:bCs/>
          <w:lang w:eastAsia="en-US"/>
        </w:rPr>
        <w:t xml:space="preserve"> </w:t>
      </w:r>
      <w:r w:rsidR="002C6855" w:rsidRPr="006E0AFE">
        <w:rPr>
          <w:b/>
          <w:bCs/>
          <w:lang w:eastAsia="en-US"/>
        </w:rPr>
        <w:t>godinu</w:t>
      </w:r>
      <w:r w:rsidR="002C6855" w:rsidRPr="006E0AFE">
        <w:rPr>
          <w:lang w:eastAsia="en-US"/>
        </w:rPr>
        <w:t xml:space="preserve"> prihodi od pomoći planiran</w:t>
      </w:r>
      <w:r w:rsidR="00153C63" w:rsidRPr="006E0AFE">
        <w:rPr>
          <w:lang w:eastAsia="en-US"/>
        </w:rPr>
        <w:t>i</w:t>
      </w:r>
      <w:r w:rsidR="002C6855" w:rsidRPr="006E0AFE">
        <w:rPr>
          <w:lang w:eastAsia="en-US"/>
        </w:rPr>
        <w:t xml:space="preserve"> su u najvećem dijelu temeljem zakonskih odrednica (decentralizirane funkcije) kao i zaključenih ugovora o sufinanciranju. Dio planiranih pomoći planiran je i na osnovi apliciranja na natječaje čiji se ishod očekuje. </w:t>
      </w:r>
      <w:r w:rsidRPr="006E0AFE">
        <w:rPr>
          <w:lang w:eastAsia="en-US"/>
        </w:rPr>
        <w:t xml:space="preserve">U </w:t>
      </w:r>
      <w:r w:rsidR="00153C63" w:rsidRPr="006E0AFE">
        <w:rPr>
          <w:lang w:eastAsia="en-US"/>
        </w:rPr>
        <w:t>odnosu na 2020.</w:t>
      </w:r>
      <w:r w:rsidR="00996A25" w:rsidRPr="006E0AFE">
        <w:rPr>
          <w:lang w:eastAsia="en-US"/>
        </w:rPr>
        <w:t xml:space="preserve"> </w:t>
      </w:r>
      <w:r w:rsidR="00153C63" w:rsidRPr="006E0AFE">
        <w:rPr>
          <w:lang w:eastAsia="en-US"/>
        </w:rPr>
        <w:t xml:space="preserve">godinu ukupno su prihodi od pomoći niži </w:t>
      </w:r>
      <w:r w:rsidRPr="006E0AFE">
        <w:rPr>
          <w:lang w:eastAsia="en-US"/>
        </w:rPr>
        <w:t>up</w:t>
      </w:r>
      <w:r w:rsidR="002379FC" w:rsidRPr="006E0AFE">
        <w:rPr>
          <w:lang w:eastAsia="en-US"/>
        </w:rPr>
        <w:t>ravo kod kapitalnih pomoći EU</w:t>
      </w:r>
      <w:r w:rsidR="002A1EDD">
        <w:rPr>
          <w:lang w:eastAsia="en-US"/>
        </w:rPr>
        <w:t xml:space="preserve">, kod </w:t>
      </w:r>
      <w:r w:rsidR="002379FC" w:rsidRPr="006E0AFE">
        <w:rPr>
          <w:lang w:eastAsia="en-US"/>
        </w:rPr>
        <w:t>pomoći iz d</w:t>
      </w:r>
      <w:r w:rsidRPr="006E0AFE">
        <w:rPr>
          <w:lang w:eastAsia="en-US"/>
        </w:rPr>
        <w:t xml:space="preserve">ržavnog proračuna </w:t>
      </w:r>
      <w:r w:rsidR="002A1EDD">
        <w:rPr>
          <w:lang w:eastAsia="en-US"/>
        </w:rPr>
        <w:t xml:space="preserve">te županijskog Proračuna </w:t>
      </w:r>
      <w:r w:rsidRPr="006E0AFE">
        <w:rPr>
          <w:lang w:eastAsia="en-US"/>
        </w:rPr>
        <w:t>što je vezano uz investicije koje se financiraju iz EU fondova</w:t>
      </w:r>
      <w:r w:rsidR="002379FC" w:rsidRPr="006E0AFE">
        <w:rPr>
          <w:lang w:eastAsia="en-US"/>
        </w:rPr>
        <w:t>, a koje</w:t>
      </w:r>
      <w:r w:rsidRPr="006E0AFE">
        <w:rPr>
          <w:lang w:eastAsia="en-US"/>
        </w:rPr>
        <w:t xml:space="preserve"> se u bile značajne u </w:t>
      </w:r>
      <w:r w:rsidR="00055F66" w:rsidRPr="006E0AFE">
        <w:rPr>
          <w:lang w:eastAsia="en-US"/>
        </w:rPr>
        <w:t>2020</w:t>
      </w:r>
      <w:r w:rsidRPr="006E0AFE">
        <w:rPr>
          <w:lang w:eastAsia="en-US"/>
        </w:rPr>
        <w:t>.</w:t>
      </w:r>
      <w:r w:rsidR="00996A25" w:rsidRPr="006E0AFE">
        <w:rPr>
          <w:lang w:eastAsia="en-US"/>
        </w:rPr>
        <w:t xml:space="preserve"> </w:t>
      </w:r>
      <w:r w:rsidRPr="006E0AFE">
        <w:rPr>
          <w:lang w:eastAsia="en-US"/>
        </w:rPr>
        <w:t>godini</w:t>
      </w:r>
      <w:r w:rsidR="00153C63" w:rsidRPr="006E0AFE">
        <w:rPr>
          <w:lang w:eastAsia="en-US"/>
        </w:rPr>
        <w:t xml:space="preserve"> (sanacija odlagališta otpada </w:t>
      </w:r>
      <w:proofErr w:type="spellStart"/>
      <w:r w:rsidR="00153C63" w:rsidRPr="006E0AFE">
        <w:rPr>
          <w:lang w:eastAsia="en-US"/>
        </w:rPr>
        <w:t>Osojnica</w:t>
      </w:r>
      <w:proofErr w:type="spellEnd"/>
      <w:r w:rsidR="00153C63" w:rsidRPr="006E0AFE">
        <w:rPr>
          <w:lang w:eastAsia="en-US"/>
        </w:rPr>
        <w:t xml:space="preserve">, energetske obnove zgrada, </w:t>
      </w:r>
      <w:r w:rsidR="00153C63" w:rsidRPr="002A1EDD">
        <w:rPr>
          <w:color w:val="000000" w:themeColor="text1"/>
          <w:lang w:eastAsia="en-US"/>
        </w:rPr>
        <w:t>dogradnja osnovne škole u Matuljima</w:t>
      </w:r>
      <w:r w:rsidR="00153C63" w:rsidRPr="006E0AFE">
        <w:rPr>
          <w:lang w:eastAsia="en-US"/>
        </w:rPr>
        <w:t>).</w:t>
      </w:r>
      <w:r w:rsidRPr="006E0AFE">
        <w:rPr>
          <w:lang w:eastAsia="en-US"/>
        </w:rPr>
        <w:t xml:space="preserve"> </w:t>
      </w:r>
      <w:r w:rsidR="00153C63" w:rsidRPr="006E0AFE">
        <w:rPr>
          <w:lang w:eastAsia="en-US"/>
        </w:rPr>
        <w:t>U 2021.</w:t>
      </w:r>
      <w:r w:rsidR="002379FC" w:rsidRPr="006E0AFE">
        <w:rPr>
          <w:lang w:eastAsia="en-US"/>
        </w:rPr>
        <w:t xml:space="preserve"> </w:t>
      </w:r>
      <w:r w:rsidR="00153C63" w:rsidRPr="006E0AFE">
        <w:rPr>
          <w:lang w:eastAsia="en-US"/>
        </w:rPr>
        <w:t xml:space="preserve">godini u apsolutnom iznosu najveći dio planiranih </w:t>
      </w:r>
      <w:r w:rsidR="00153C63" w:rsidRPr="006E0AFE">
        <w:rPr>
          <w:u w:val="single"/>
          <w:lang w:eastAsia="en-US"/>
        </w:rPr>
        <w:t>kapitalnih pomoći</w:t>
      </w:r>
      <w:r w:rsidR="00153C63" w:rsidRPr="006E0AFE">
        <w:rPr>
          <w:lang w:eastAsia="en-US"/>
        </w:rPr>
        <w:t xml:space="preserve"> o</w:t>
      </w:r>
      <w:r w:rsidR="00E53D1F" w:rsidRPr="006E0AFE">
        <w:rPr>
          <w:lang w:eastAsia="en-US"/>
        </w:rPr>
        <w:t xml:space="preserve">dnosi se na očekivane prihode </w:t>
      </w:r>
      <w:r w:rsidR="00E53D1F" w:rsidRPr="002148F4">
        <w:rPr>
          <w:lang w:eastAsia="en-US"/>
        </w:rPr>
        <w:t>za projekt</w:t>
      </w:r>
      <w:r w:rsidR="00153C63" w:rsidRPr="006E0AFE">
        <w:rPr>
          <w:lang w:eastAsia="en-US"/>
        </w:rPr>
        <w:t xml:space="preserve"> sanacije odlagališta otpada </w:t>
      </w:r>
      <w:proofErr w:type="spellStart"/>
      <w:r w:rsidR="00153C63" w:rsidRPr="006E0AFE">
        <w:rPr>
          <w:lang w:eastAsia="en-US"/>
        </w:rPr>
        <w:t>Osojnica</w:t>
      </w:r>
      <w:proofErr w:type="spellEnd"/>
      <w:r w:rsidR="00153C63" w:rsidRPr="006E0AFE">
        <w:rPr>
          <w:lang w:eastAsia="en-US"/>
        </w:rPr>
        <w:t xml:space="preserve"> koji se dovršava u 2021.</w:t>
      </w:r>
      <w:r w:rsidR="002379FC" w:rsidRPr="006E0AFE">
        <w:rPr>
          <w:lang w:eastAsia="en-US"/>
        </w:rPr>
        <w:t xml:space="preserve"> godini</w:t>
      </w:r>
      <w:r w:rsidR="00E53D1F" w:rsidRPr="006E0AFE">
        <w:rPr>
          <w:lang w:eastAsia="en-US"/>
        </w:rPr>
        <w:t xml:space="preserve"> (</w:t>
      </w:r>
      <w:r w:rsidR="00E53D1F" w:rsidRPr="002148F4">
        <w:rPr>
          <w:lang w:eastAsia="en-US"/>
        </w:rPr>
        <w:t>pomoći iz EU fonda, pomoći Fonda za zaštitu okoliša i pomoći jedinica lokalne samouprave)</w:t>
      </w:r>
      <w:r w:rsidR="00153C63" w:rsidRPr="002148F4">
        <w:rPr>
          <w:lang w:eastAsia="en-US"/>
        </w:rPr>
        <w:t xml:space="preserve">, </w:t>
      </w:r>
      <w:r w:rsidR="00153C63" w:rsidRPr="006E0AFE">
        <w:rPr>
          <w:lang w:eastAsia="en-US"/>
        </w:rPr>
        <w:t>a ostali prihodi vezani su</w:t>
      </w:r>
      <w:r w:rsidR="002379FC" w:rsidRPr="006E0AFE">
        <w:rPr>
          <w:lang w:eastAsia="en-US"/>
        </w:rPr>
        <w:t xml:space="preserve"> </w:t>
      </w:r>
      <w:r w:rsidR="002379FC" w:rsidRPr="002148F4">
        <w:rPr>
          <w:lang w:eastAsia="en-US"/>
        </w:rPr>
        <w:t>za</w:t>
      </w:r>
      <w:r w:rsidR="002379FC" w:rsidRPr="006E0AFE">
        <w:rPr>
          <w:color w:val="FF0000"/>
          <w:lang w:eastAsia="en-US"/>
        </w:rPr>
        <w:t xml:space="preserve"> </w:t>
      </w:r>
      <w:r w:rsidR="00153C63" w:rsidRPr="006E0AFE">
        <w:rPr>
          <w:lang w:eastAsia="en-US"/>
        </w:rPr>
        <w:t>projekte</w:t>
      </w:r>
      <w:r w:rsidR="002C6855" w:rsidRPr="006E0AFE">
        <w:rPr>
          <w:lang w:eastAsia="en-US"/>
        </w:rPr>
        <w:t xml:space="preserve"> </w:t>
      </w:r>
      <w:r w:rsidRPr="006E0AFE">
        <w:rPr>
          <w:lang w:eastAsia="en-US"/>
        </w:rPr>
        <w:t>dogradnje zgrade OŠ u Matuljima</w:t>
      </w:r>
      <w:r w:rsidR="00153C63" w:rsidRPr="006E0AFE">
        <w:rPr>
          <w:lang w:eastAsia="en-US"/>
        </w:rPr>
        <w:t xml:space="preserve"> (obveza PGŽ koja po ugovoru dospijeva u 2021.</w:t>
      </w:r>
      <w:r w:rsidR="002379FC" w:rsidRPr="006E0AFE">
        <w:rPr>
          <w:lang w:eastAsia="en-US"/>
        </w:rPr>
        <w:t xml:space="preserve"> </w:t>
      </w:r>
      <w:r w:rsidR="00153C63" w:rsidRPr="006E0AFE">
        <w:rPr>
          <w:lang w:eastAsia="en-US"/>
        </w:rPr>
        <w:t>godini)</w:t>
      </w:r>
      <w:r w:rsidR="002C6855" w:rsidRPr="006E0AFE">
        <w:rPr>
          <w:lang w:eastAsia="en-US"/>
        </w:rPr>
        <w:t>, igralište Jušići</w:t>
      </w:r>
      <w:r w:rsidR="00334CC2" w:rsidRPr="006E0AFE">
        <w:rPr>
          <w:lang w:eastAsia="en-US"/>
        </w:rPr>
        <w:t>, muzej Lipa</w:t>
      </w:r>
      <w:r w:rsidR="00153C63" w:rsidRPr="006E0AFE">
        <w:rPr>
          <w:lang w:eastAsia="en-US"/>
        </w:rPr>
        <w:t xml:space="preserve"> (projekt uređenja ruševina)</w:t>
      </w:r>
      <w:r w:rsidRPr="006E0AFE">
        <w:rPr>
          <w:lang w:eastAsia="en-US"/>
        </w:rPr>
        <w:t xml:space="preserve">. Prihodi od </w:t>
      </w:r>
      <w:r w:rsidRPr="006E0AFE">
        <w:rPr>
          <w:u w:val="single"/>
          <w:lang w:eastAsia="en-US"/>
        </w:rPr>
        <w:t>tekućih pomoći</w:t>
      </w:r>
      <w:r w:rsidRPr="006E0AFE">
        <w:rPr>
          <w:lang w:eastAsia="en-US"/>
        </w:rPr>
        <w:t xml:space="preserve"> odnose se u </w:t>
      </w:r>
      <w:r w:rsidR="008C0AF2" w:rsidRPr="006E0AFE">
        <w:rPr>
          <w:lang w:eastAsia="en-US"/>
        </w:rPr>
        <w:t>najvećem dijelu</w:t>
      </w:r>
      <w:r w:rsidRPr="006E0AFE">
        <w:rPr>
          <w:lang w:eastAsia="en-US"/>
        </w:rPr>
        <w:t xml:space="preserve"> na planirane pomoći EU za projekt</w:t>
      </w:r>
      <w:r w:rsidR="002379FC" w:rsidRPr="006E0AFE">
        <w:rPr>
          <w:lang w:eastAsia="en-US"/>
        </w:rPr>
        <w:t>e „</w:t>
      </w:r>
      <w:r w:rsidR="00153C63" w:rsidRPr="006E0AFE">
        <w:rPr>
          <w:lang w:eastAsia="en-US"/>
        </w:rPr>
        <w:t>Pomoć u kući za naše starije i nemoćne osobe</w:t>
      </w:r>
      <w:r w:rsidR="002379FC" w:rsidRPr="006E0AFE">
        <w:rPr>
          <w:lang w:eastAsia="en-US"/>
        </w:rPr>
        <w:t>“ te projekt „</w:t>
      </w:r>
      <w:r w:rsidR="00153C63" w:rsidRPr="006E0AFE">
        <w:rPr>
          <w:lang w:eastAsia="en-US"/>
        </w:rPr>
        <w:t xml:space="preserve">Mobilna terenska jedinica za </w:t>
      </w:r>
      <w:r w:rsidR="002379FC" w:rsidRPr="006E0AFE">
        <w:rPr>
          <w:lang w:eastAsia="en-US"/>
        </w:rPr>
        <w:t>starije osobe u Općini Matulji“</w:t>
      </w:r>
      <w:r w:rsidR="00153C63" w:rsidRPr="006E0AFE">
        <w:rPr>
          <w:lang w:eastAsia="en-US"/>
        </w:rPr>
        <w:t xml:space="preserve"> u okviru Programa socijalne skrbi,</w:t>
      </w:r>
      <w:r w:rsidRPr="006E0AFE">
        <w:rPr>
          <w:lang w:eastAsia="en-US"/>
        </w:rPr>
        <w:t xml:space="preserve"> </w:t>
      </w:r>
      <w:r w:rsidR="00153C63" w:rsidRPr="006E0AFE">
        <w:rPr>
          <w:lang w:eastAsia="en-US"/>
        </w:rPr>
        <w:t xml:space="preserve">zatim </w:t>
      </w:r>
      <w:r w:rsidR="002379FC" w:rsidRPr="006E0AFE">
        <w:rPr>
          <w:lang w:eastAsia="en-US"/>
        </w:rPr>
        <w:t xml:space="preserve">projekt </w:t>
      </w:r>
      <w:r w:rsidRPr="006E0AFE">
        <w:rPr>
          <w:lang w:eastAsia="en-US"/>
        </w:rPr>
        <w:t>Smjenski rad u Dječjem vrtiću</w:t>
      </w:r>
      <w:r w:rsidR="00153C63" w:rsidRPr="006E0AFE">
        <w:rPr>
          <w:lang w:eastAsia="en-US"/>
        </w:rPr>
        <w:t xml:space="preserve"> </w:t>
      </w:r>
      <w:r w:rsidR="002379FC" w:rsidRPr="006E0AFE">
        <w:rPr>
          <w:lang w:eastAsia="en-US"/>
        </w:rPr>
        <w:t xml:space="preserve">Matulji </w:t>
      </w:r>
      <w:r w:rsidR="00153C63" w:rsidRPr="006E0AFE">
        <w:rPr>
          <w:lang w:eastAsia="en-US"/>
        </w:rPr>
        <w:t>(traje do ožujka 2021.</w:t>
      </w:r>
      <w:r w:rsidR="002379FC" w:rsidRPr="006E0AFE">
        <w:rPr>
          <w:lang w:eastAsia="en-US"/>
        </w:rPr>
        <w:t xml:space="preserve"> </w:t>
      </w:r>
      <w:r w:rsidR="00153C63" w:rsidRPr="006E0AFE">
        <w:rPr>
          <w:lang w:eastAsia="en-US"/>
        </w:rPr>
        <w:t>g</w:t>
      </w:r>
      <w:r w:rsidR="002379FC" w:rsidRPr="006E0AFE">
        <w:rPr>
          <w:lang w:eastAsia="en-US"/>
        </w:rPr>
        <w:t>odine</w:t>
      </w:r>
      <w:r w:rsidR="00153C63" w:rsidRPr="006E0AFE">
        <w:rPr>
          <w:lang w:eastAsia="en-US"/>
        </w:rPr>
        <w:t xml:space="preserve">). </w:t>
      </w:r>
      <w:r w:rsidR="008C0AF2" w:rsidRPr="006E0AFE">
        <w:rPr>
          <w:lang w:eastAsia="en-US"/>
        </w:rPr>
        <w:t>O</w:t>
      </w:r>
      <w:r w:rsidR="00153C63" w:rsidRPr="006E0AFE">
        <w:rPr>
          <w:lang w:eastAsia="en-US"/>
        </w:rPr>
        <w:t>sim za navedene projekte</w:t>
      </w:r>
      <w:r w:rsidR="008C0AF2" w:rsidRPr="006E0AFE">
        <w:rPr>
          <w:lang w:eastAsia="en-US"/>
        </w:rPr>
        <w:t>,</w:t>
      </w:r>
      <w:r w:rsidR="00153C63" w:rsidRPr="006E0AFE">
        <w:rPr>
          <w:lang w:eastAsia="en-US"/>
        </w:rPr>
        <w:t xml:space="preserve"> tekuće pomoći planirane su u dijelu </w:t>
      </w:r>
      <w:r w:rsidRPr="006E0AFE">
        <w:rPr>
          <w:lang w:eastAsia="en-US"/>
        </w:rPr>
        <w:t>izravnanja za decentralizirane funkcije vatrogastva</w:t>
      </w:r>
      <w:r w:rsidR="008C0AF2" w:rsidRPr="006E0AFE">
        <w:rPr>
          <w:lang w:eastAsia="en-US"/>
        </w:rPr>
        <w:t xml:space="preserve">, </w:t>
      </w:r>
      <w:r w:rsidR="003C2EE4" w:rsidRPr="006E0AFE">
        <w:rPr>
          <w:lang w:eastAsia="en-US"/>
        </w:rPr>
        <w:t xml:space="preserve">za </w:t>
      </w:r>
      <w:r w:rsidR="00153C63" w:rsidRPr="006E0AFE">
        <w:rPr>
          <w:lang w:eastAsia="en-US"/>
        </w:rPr>
        <w:t xml:space="preserve">kompenzacijske mjere </w:t>
      </w:r>
      <w:r w:rsidR="002379FC" w:rsidRPr="006E0AFE">
        <w:rPr>
          <w:lang w:eastAsia="en-US"/>
        </w:rPr>
        <w:t>iz državnog proračuna prema Zakonu o financiranju JLP(R)</w:t>
      </w:r>
      <w:r w:rsidR="00153C63" w:rsidRPr="006E0AFE">
        <w:rPr>
          <w:lang w:eastAsia="en-US"/>
        </w:rPr>
        <w:t>S</w:t>
      </w:r>
      <w:r w:rsidR="003C2EE4" w:rsidRPr="006E0AFE">
        <w:rPr>
          <w:lang w:eastAsia="en-US"/>
        </w:rPr>
        <w:t xml:space="preserve">, </w:t>
      </w:r>
      <w:r w:rsidR="008C0AF2" w:rsidRPr="006E0AFE">
        <w:rPr>
          <w:lang w:eastAsia="en-US"/>
        </w:rPr>
        <w:t xml:space="preserve">sufinanciranje troškova zimske </w:t>
      </w:r>
      <w:r w:rsidR="008C0AF2" w:rsidRPr="002148F4">
        <w:rPr>
          <w:lang w:eastAsia="en-US"/>
        </w:rPr>
        <w:t>službe</w:t>
      </w:r>
      <w:r w:rsidR="003C2EE4" w:rsidRPr="002148F4">
        <w:rPr>
          <w:lang w:eastAsia="en-US"/>
        </w:rPr>
        <w:t>, pomoći županije za troškove ogrjeva sukladno Zakonu o socijalnoj skrbi te pomoći Ministarstva obrazovanja za programe Dječjeg vrtića Matulji</w:t>
      </w:r>
      <w:r w:rsidR="008C0AF2" w:rsidRPr="002148F4">
        <w:rPr>
          <w:lang w:eastAsia="en-US"/>
        </w:rPr>
        <w:t>.</w:t>
      </w:r>
    </w:p>
    <w:p w14:paraId="7E82D851" w14:textId="77777777" w:rsidR="00334CC2" w:rsidRPr="006E0AFE" w:rsidRDefault="00334CC2" w:rsidP="00210339">
      <w:pPr>
        <w:jc w:val="both"/>
        <w:rPr>
          <w:lang w:eastAsia="en-US"/>
        </w:rPr>
      </w:pPr>
      <w:r w:rsidRPr="006E0AFE">
        <w:rPr>
          <w:lang w:eastAsia="en-US"/>
        </w:rPr>
        <w:t xml:space="preserve">U </w:t>
      </w:r>
      <w:r w:rsidRPr="006E0AFE">
        <w:rPr>
          <w:b/>
          <w:lang w:eastAsia="en-US"/>
        </w:rPr>
        <w:t>projekciji za 2022. i 2023. godinu</w:t>
      </w:r>
      <w:r w:rsidR="008C0AF2" w:rsidRPr="006E0AFE">
        <w:rPr>
          <w:lang w:eastAsia="en-US"/>
        </w:rPr>
        <w:t xml:space="preserve"> planira se i nadalje uspješno povlačenje sredstava iz EU i drugih fondova ili drugih proračuna posebice uzimajući u obzi</w:t>
      </w:r>
      <w:r w:rsidR="00E53D1F" w:rsidRPr="006E0AFE">
        <w:rPr>
          <w:lang w:eastAsia="en-US"/>
        </w:rPr>
        <w:t>r potencijalni ulazak općine u U</w:t>
      </w:r>
      <w:r w:rsidR="008C0AF2" w:rsidRPr="006E0AFE">
        <w:rPr>
          <w:lang w:eastAsia="en-US"/>
        </w:rPr>
        <w:t>rbanu aglomeraciju Rijeka. Tako se u 2022. i 2023.</w:t>
      </w:r>
      <w:r w:rsidR="00E53D1F" w:rsidRPr="006E0AFE">
        <w:rPr>
          <w:lang w:eastAsia="en-US"/>
        </w:rPr>
        <w:t xml:space="preserve"> </w:t>
      </w:r>
      <w:r w:rsidR="008C0AF2" w:rsidRPr="006E0AFE">
        <w:rPr>
          <w:lang w:eastAsia="en-US"/>
        </w:rPr>
        <w:t xml:space="preserve">godini očekuje ostvarivanje prihoda od </w:t>
      </w:r>
      <w:r w:rsidR="008C0AF2" w:rsidRPr="006E0AFE">
        <w:rPr>
          <w:u w:val="single"/>
          <w:lang w:eastAsia="en-US"/>
        </w:rPr>
        <w:t>kapitalnih pomoći</w:t>
      </w:r>
      <w:r w:rsidR="008C0AF2" w:rsidRPr="006E0AFE">
        <w:rPr>
          <w:lang w:eastAsia="en-US"/>
        </w:rPr>
        <w:t xml:space="preserve"> za realizaciju ulaganja u RZ </w:t>
      </w:r>
      <w:proofErr w:type="spellStart"/>
      <w:r w:rsidR="008C0AF2" w:rsidRPr="006E0AFE">
        <w:rPr>
          <w:lang w:eastAsia="en-US"/>
        </w:rPr>
        <w:t>Miklavija</w:t>
      </w:r>
      <w:proofErr w:type="spellEnd"/>
      <w:r w:rsidR="008C0AF2" w:rsidRPr="006E0AFE">
        <w:rPr>
          <w:lang w:eastAsia="en-US"/>
        </w:rPr>
        <w:t xml:space="preserve">, energetsku obnovu škola u </w:t>
      </w:r>
      <w:proofErr w:type="spellStart"/>
      <w:r w:rsidR="008C0AF2" w:rsidRPr="006E0AFE">
        <w:rPr>
          <w:lang w:eastAsia="en-US"/>
        </w:rPr>
        <w:t>Brešcima</w:t>
      </w:r>
      <w:proofErr w:type="spellEnd"/>
      <w:r w:rsidR="008C0AF2" w:rsidRPr="006E0AFE">
        <w:rPr>
          <w:lang w:eastAsia="en-US"/>
        </w:rPr>
        <w:t xml:space="preserve"> i u </w:t>
      </w:r>
      <w:r w:rsidR="00E53D1F" w:rsidRPr="002148F4">
        <w:rPr>
          <w:lang w:eastAsia="en-US"/>
        </w:rPr>
        <w:t>Rupi</w:t>
      </w:r>
      <w:r w:rsidR="008C0AF2" w:rsidRPr="002148F4">
        <w:rPr>
          <w:lang w:eastAsia="en-US"/>
        </w:rPr>
        <w:t>,</w:t>
      </w:r>
      <w:r w:rsidR="008C0AF2" w:rsidRPr="006E0AFE">
        <w:rPr>
          <w:lang w:eastAsia="en-US"/>
        </w:rPr>
        <w:t xml:space="preserve"> energetsku obnovu zgrada </w:t>
      </w:r>
      <w:r w:rsidR="00E53D1F" w:rsidRPr="006E0AFE">
        <w:rPr>
          <w:lang w:eastAsia="en-US"/>
        </w:rPr>
        <w:t>d</w:t>
      </w:r>
      <w:r w:rsidR="008C0AF2" w:rsidRPr="006E0AFE">
        <w:rPr>
          <w:lang w:eastAsia="en-US"/>
        </w:rPr>
        <w:t>omova</w:t>
      </w:r>
      <w:r w:rsidR="00E53D1F" w:rsidRPr="006E0AFE">
        <w:rPr>
          <w:lang w:eastAsia="en-US"/>
        </w:rPr>
        <w:t xml:space="preserve"> te za </w:t>
      </w:r>
      <w:r w:rsidR="00E53D1F" w:rsidRPr="002A1EDD">
        <w:rPr>
          <w:color w:val="000000" w:themeColor="text1"/>
          <w:lang w:eastAsia="en-US"/>
        </w:rPr>
        <w:t>investicije u programu gradnje nerazvrstanih cesta</w:t>
      </w:r>
      <w:r w:rsidR="00E53D1F" w:rsidRPr="006E0AFE">
        <w:rPr>
          <w:lang w:eastAsia="en-US"/>
        </w:rPr>
        <w:t xml:space="preserve">. </w:t>
      </w:r>
      <w:r w:rsidR="008C0AF2" w:rsidRPr="006E0AFE">
        <w:rPr>
          <w:lang w:eastAsia="en-US"/>
        </w:rPr>
        <w:t xml:space="preserve">Prihodi od </w:t>
      </w:r>
      <w:r w:rsidR="008C0AF2" w:rsidRPr="00B76A7D">
        <w:rPr>
          <w:u w:val="single"/>
          <w:lang w:eastAsia="en-US"/>
        </w:rPr>
        <w:t>tekućih pomoći</w:t>
      </w:r>
      <w:r w:rsidR="008C0AF2" w:rsidRPr="006E0AFE">
        <w:rPr>
          <w:lang w:eastAsia="en-US"/>
        </w:rPr>
        <w:t xml:space="preserve"> odnose se, kao i u 2021.</w:t>
      </w:r>
      <w:r w:rsidR="00E53D1F" w:rsidRPr="006E0AFE">
        <w:rPr>
          <w:lang w:eastAsia="en-US"/>
        </w:rPr>
        <w:t xml:space="preserve"> </w:t>
      </w:r>
      <w:r w:rsidR="008C0AF2" w:rsidRPr="006E0AFE">
        <w:rPr>
          <w:lang w:eastAsia="en-US"/>
        </w:rPr>
        <w:t>godini u najvećem dijelu na p</w:t>
      </w:r>
      <w:r w:rsidR="00E53D1F" w:rsidRPr="006E0AFE">
        <w:rPr>
          <w:lang w:eastAsia="en-US"/>
        </w:rPr>
        <w:t>lanirane pomoći EU za projekte</w:t>
      </w:r>
      <w:r w:rsidR="002148F4">
        <w:rPr>
          <w:lang w:eastAsia="en-US"/>
        </w:rPr>
        <w:t xml:space="preserve"> u području socijalne skrbi te </w:t>
      </w:r>
      <w:r w:rsidR="00E53D1F" w:rsidRPr="006E0AFE">
        <w:rPr>
          <w:lang w:eastAsia="en-US"/>
        </w:rPr>
        <w:t xml:space="preserve">za </w:t>
      </w:r>
      <w:r w:rsidR="008C0AF2" w:rsidRPr="006E0AFE">
        <w:rPr>
          <w:lang w:eastAsia="en-US"/>
        </w:rPr>
        <w:t>decentralizirane funkcije vatrogastva, kompenzacijske mjere</w:t>
      </w:r>
      <w:r w:rsidR="00E53D1F" w:rsidRPr="006E0AFE">
        <w:rPr>
          <w:lang w:eastAsia="en-US"/>
        </w:rPr>
        <w:t xml:space="preserve"> iz državnog proračuna, </w:t>
      </w:r>
      <w:r w:rsidR="008C0AF2" w:rsidRPr="006E0AFE">
        <w:rPr>
          <w:lang w:eastAsia="en-US"/>
        </w:rPr>
        <w:t>sufina</w:t>
      </w:r>
      <w:r w:rsidR="00E53D1F" w:rsidRPr="006E0AFE">
        <w:rPr>
          <w:lang w:eastAsia="en-US"/>
        </w:rPr>
        <w:t>nciranje troškova zimske službe te pomoći županije za troškove ogrjeva i Ministarstva</w:t>
      </w:r>
      <w:r w:rsidR="00104994" w:rsidRPr="006E0AFE">
        <w:rPr>
          <w:lang w:eastAsia="en-US"/>
        </w:rPr>
        <w:t xml:space="preserve"> obrazovanja</w:t>
      </w:r>
      <w:r w:rsidR="00E53D1F" w:rsidRPr="006E0AFE">
        <w:rPr>
          <w:lang w:eastAsia="en-US"/>
        </w:rPr>
        <w:t xml:space="preserve"> za programe Dječjeg vrtića Matulji.</w:t>
      </w:r>
    </w:p>
    <w:p w14:paraId="7CB18D2A" w14:textId="77777777" w:rsidR="008C0AF2" w:rsidRPr="006E0AFE" w:rsidRDefault="008C0AF2" w:rsidP="00210339">
      <w:pPr>
        <w:jc w:val="both"/>
        <w:rPr>
          <w:highlight w:val="yellow"/>
          <w:lang w:eastAsia="en-US"/>
        </w:rPr>
      </w:pPr>
    </w:p>
    <w:p w14:paraId="42817A45" w14:textId="77777777" w:rsidR="00210339" w:rsidRPr="006E0AFE" w:rsidRDefault="00210339" w:rsidP="00210339">
      <w:pPr>
        <w:jc w:val="both"/>
        <w:rPr>
          <w:lang w:eastAsia="en-US"/>
        </w:rPr>
      </w:pPr>
      <w:r w:rsidRPr="006E0AFE">
        <w:rPr>
          <w:b/>
          <w:u w:val="single"/>
          <w:lang w:eastAsia="en-US"/>
        </w:rPr>
        <w:t>1</w:t>
      </w:r>
      <w:r w:rsidR="00DF228A" w:rsidRPr="006E0AFE">
        <w:rPr>
          <w:b/>
          <w:u w:val="single"/>
          <w:lang w:eastAsia="en-US"/>
        </w:rPr>
        <w:t>.</w:t>
      </w:r>
      <w:r w:rsidR="00AE4422" w:rsidRPr="006E0AFE">
        <w:rPr>
          <w:b/>
          <w:u w:val="single"/>
          <w:lang w:eastAsia="en-US"/>
        </w:rPr>
        <w:t>C.</w:t>
      </w:r>
      <w:r w:rsidRPr="006E0AFE">
        <w:rPr>
          <w:u w:val="single"/>
          <w:lang w:eastAsia="en-US"/>
        </w:rPr>
        <w:t xml:space="preserve"> </w:t>
      </w:r>
      <w:r w:rsidRPr="006E0AFE">
        <w:rPr>
          <w:b/>
          <w:u w:val="single"/>
          <w:lang w:eastAsia="en-US"/>
        </w:rPr>
        <w:t>Prihode od imovine</w:t>
      </w:r>
      <w:r w:rsidRPr="006E0AFE">
        <w:rPr>
          <w:b/>
          <w:lang w:eastAsia="en-US"/>
        </w:rPr>
        <w:t xml:space="preserve"> </w:t>
      </w:r>
      <w:r w:rsidRPr="006E0AFE">
        <w:rPr>
          <w:lang w:eastAsia="en-US"/>
        </w:rPr>
        <w:t xml:space="preserve">čine </w:t>
      </w:r>
      <w:r w:rsidRPr="006E0AFE">
        <w:rPr>
          <w:u w:val="single"/>
          <w:lang w:eastAsia="en-US"/>
        </w:rPr>
        <w:t>prihodi od financijske imovine</w:t>
      </w:r>
      <w:r w:rsidRPr="006E0AFE">
        <w:rPr>
          <w:b/>
          <w:lang w:eastAsia="en-US"/>
        </w:rPr>
        <w:t xml:space="preserve"> </w:t>
      </w:r>
      <w:r w:rsidRPr="006E0AFE">
        <w:rPr>
          <w:lang w:eastAsia="en-US"/>
        </w:rPr>
        <w:t xml:space="preserve">(kamate na oročena sredstva i zatezne kamate) i </w:t>
      </w:r>
      <w:r w:rsidRPr="006E0AFE">
        <w:rPr>
          <w:u w:val="single"/>
          <w:lang w:eastAsia="en-US"/>
        </w:rPr>
        <w:t>prihodi od nefinancijske imovine</w:t>
      </w:r>
      <w:r w:rsidRPr="006E0AFE">
        <w:rPr>
          <w:lang w:eastAsia="en-US"/>
        </w:rPr>
        <w:t xml:space="preserve"> (koncesije, zakup poslovnog prostora, najam stambenog prostora, pravo građenja, spomenička renta, naknada za prekomjerno opterećenje nerazvrstanih cesta, </w:t>
      </w:r>
      <w:r w:rsidR="00A74A41" w:rsidRPr="006E0AFE">
        <w:rPr>
          <w:lang w:eastAsia="en-US"/>
        </w:rPr>
        <w:t>naknada za nezakonito izgrađene zgrade).</w:t>
      </w:r>
      <w:r w:rsidRPr="006E0AFE">
        <w:rPr>
          <w:lang w:eastAsia="en-US"/>
        </w:rPr>
        <w:t xml:space="preserve"> </w:t>
      </w:r>
      <w:r w:rsidR="00E178A8" w:rsidRPr="006E0AFE">
        <w:rPr>
          <w:lang w:eastAsia="en-US"/>
        </w:rPr>
        <w:t>Prihodi od imovine planirani su za 2021.</w:t>
      </w:r>
      <w:r w:rsidR="00A74A41" w:rsidRPr="006E0AFE">
        <w:rPr>
          <w:lang w:eastAsia="en-US"/>
        </w:rPr>
        <w:t xml:space="preserve"> </w:t>
      </w:r>
      <w:r w:rsidR="00E178A8" w:rsidRPr="006E0AFE">
        <w:rPr>
          <w:lang w:eastAsia="en-US"/>
        </w:rPr>
        <w:t>godinu na razini 2020.</w:t>
      </w:r>
      <w:r w:rsidR="00A74A41" w:rsidRPr="006E0AFE">
        <w:rPr>
          <w:lang w:eastAsia="en-US"/>
        </w:rPr>
        <w:t xml:space="preserve"> </w:t>
      </w:r>
      <w:r w:rsidR="00E178A8" w:rsidRPr="006E0AFE">
        <w:rPr>
          <w:lang w:eastAsia="en-US"/>
        </w:rPr>
        <w:t>godine. Razlika odnosno povećanje planira se kod prihoda od koncesija budući će do kraja ove godine biti raspisan natječaj</w:t>
      </w:r>
      <w:r w:rsidR="00A74A41" w:rsidRPr="006E0AFE">
        <w:rPr>
          <w:lang w:eastAsia="en-US"/>
        </w:rPr>
        <w:t>,</w:t>
      </w:r>
      <w:r w:rsidR="00E178A8" w:rsidRPr="006E0AFE">
        <w:rPr>
          <w:lang w:eastAsia="en-US"/>
        </w:rPr>
        <w:t xml:space="preserve"> a u 2021.</w:t>
      </w:r>
      <w:r w:rsidR="00A74A41" w:rsidRPr="006E0AFE">
        <w:rPr>
          <w:lang w:eastAsia="en-US"/>
        </w:rPr>
        <w:t xml:space="preserve"> godini </w:t>
      </w:r>
      <w:r w:rsidR="00E178A8" w:rsidRPr="006E0AFE">
        <w:rPr>
          <w:lang w:eastAsia="en-US"/>
        </w:rPr>
        <w:t>zaključen ugovor o koncesiji za obavljanje komunalne djelatnosti parkiranja u javnoj garaži. Pored tog</w:t>
      </w:r>
      <w:r w:rsidR="00A74A41" w:rsidRPr="006E0AFE">
        <w:rPr>
          <w:lang w:eastAsia="en-US"/>
        </w:rPr>
        <w:t>a</w:t>
      </w:r>
      <w:r w:rsidR="00E178A8" w:rsidRPr="006E0AFE">
        <w:rPr>
          <w:lang w:eastAsia="en-US"/>
        </w:rPr>
        <w:t xml:space="preserve"> u 2021.</w:t>
      </w:r>
      <w:r w:rsidR="00A74A41" w:rsidRPr="006E0AFE">
        <w:rPr>
          <w:lang w:eastAsia="en-US"/>
        </w:rPr>
        <w:t xml:space="preserve"> godini </w:t>
      </w:r>
      <w:r w:rsidR="00E178A8" w:rsidRPr="006E0AFE">
        <w:rPr>
          <w:lang w:eastAsia="en-US"/>
        </w:rPr>
        <w:t>planira se raspisivanje natječaj</w:t>
      </w:r>
      <w:r w:rsidR="00A74A41" w:rsidRPr="006E0AFE">
        <w:rPr>
          <w:lang w:eastAsia="en-US"/>
        </w:rPr>
        <w:t>a</w:t>
      </w:r>
      <w:r w:rsidR="00E178A8" w:rsidRPr="006E0AFE">
        <w:rPr>
          <w:lang w:eastAsia="en-US"/>
        </w:rPr>
        <w:t xml:space="preserve"> i </w:t>
      </w:r>
      <w:r w:rsidR="00A74A41" w:rsidRPr="006E0AFE">
        <w:rPr>
          <w:lang w:eastAsia="en-US"/>
        </w:rPr>
        <w:t xml:space="preserve">za </w:t>
      </w:r>
      <w:r w:rsidR="00E178A8" w:rsidRPr="006E0AFE">
        <w:rPr>
          <w:lang w:eastAsia="en-US"/>
        </w:rPr>
        <w:t xml:space="preserve">koncesiju za obavljanje dimnjačarske službe. Od ostalih prihoda unutar ove skupine </w:t>
      </w:r>
      <w:r w:rsidR="00B76A7D">
        <w:rPr>
          <w:lang w:eastAsia="en-US"/>
        </w:rPr>
        <w:t>planiraju se prihodi od kamata</w:t>
      </w:r>
      <w:r w:rsidR="00E178A8" w:rsidRPr="006E0AFE">
        <w:rPr>
          <w:lang w:eastAsia="en-US"/>
        </w:rPr>
        <w:t>, spomeničke rente</w:t>
      </w:r>
      <w:r w:rsidR="00A74A41" w:rsidRPr="006E0AFE">
        <w:rPr>
          <w:lang w:eastAsia="en-US"/>
        </w:rPr>
        <w:t>, naknade za</w:t>
      </w:r>
      <w:r w:rsidR="00E178A8" w:rsidRPr="006E0AFE">
        <w:rPr>
          <w:lang w:eastAsia="en-US"/>
        </w:rPr>
        <w:t xml:space="preserve"> </w:t>
      </w:r>
      <w:r w:rsidR="00A74A41" w:rsidRPr="006E0AFE">
        <w:rPr>
          <w:lang w:eastAsia="en-US"/>
        </w:rPr>
        <w:t>korištenje prava</w:t>
      </w:r>
      <w:r w:rsidR="00E178A8" w:rsidRPr="006E0AFE">
        <w:rPr>
          <w:lang w:eastAsia="en-US"/>
        </w:rPr>
        <w:t xml:space="preserve"> puta i zakupa </w:t>
      </w:r>
      <w:r w:rsidR="00A74A41" w:rsidRPr="006E0AFE">
        <w:rPr>
          <w:lang w:eastAsia="en-US"/>
        </w:rPr>
        <w:t>m</w:t>
      </w:r>
      <w:r w:rsidR="00E178A8" w:rsidRPr="006E0AFE">
        <w:rPr>
          <w:lang w:eastAsia="en-US"/>
        </w:rPr>
        <w:t>jesnih odbora na razini 2021.</w:t>
      </w:r>
      <w:r w:rsidR="00A74A41" w:rsidRPr="006E0AFE">
        <w:rPr>
          <w:lang w:eastAsia="en-US"/>
        </w:rPr>
        <w:t xml:space="preserve"> </w:t>
      </w:r>
      <w:r w:rsidR="00E178A8" w:rsidRPr="006E0AFE">
        <w:rPr>
          <w:lang w:eastAsia="en-US"/>
        </w:rPr>
        <w:t>godine. Neznatno povećanje planira se kod prihoda od zakupa i najma s obzirom da se planira povećanje najamnine za slobodno ugovorenu najamninu stambenih prostora s obzirom da se visine najamnine dugo godina nisu mijenjale a da je Općina vršila ulaganja u stanov</w:t>
      </w:r>
      <w:r w:rsidR="005D2609" w:rsidRPr="006E0AFE">
        <w:rPr>
          <w:lang w:eastAsia="en-US"/>
        </w:rPr>
        <w:t xml:space="preserve">e odnosno zgrade u kojima se </w:t>
      </w:r>
      <w:r w:rsidR="00E178A8" w:rsidRPr="006E0AFE">
        <w:rPr>
          <w:lang w:eastAsia="en-US"/>
        </w:rPr>
        <w:t xml:space="preserve">stanovi nalaze. Kod prihoda od naknade za </w:t>
      </w:r>
      <w:r w:rsidR="000748C8">
        <w:rPr>
          <w:lang w:eastAsia="en-US"/>
        </w:rPr>
        <w:t>nezakonito izgrađene zgrade</w:t>
      </w:r>
      <w:r w:rsidR="00E178A8" w:rsidRPr="006E0AFE">
        <w:rPr>
          <w:lang w:eastAsia="en-US"/>
        </w:rPr>
        <w:t xml:space="preserve"> planira se smanjenje u odnosu na 2020.</w:t>
      </w:r>
      <w:r w:rsidR="00FE48E9" w:rsidRPr="006E0AFE">
        <w:rPr>
          <w:lang w:eastAsia="en-US"/>
        </w:rPr>
        <w:t xml:space="preserve"> </w:t>
      </w:r>
      <w:r w:rsidR="00E178A8" w:rsidRPr="006E0AFE">
        <w:rPr>
          <w:lang w:eastAsia="en-US"/>
        </w:rPr>
        <w:t>godinu budući se očekuje manji broj zahtjeva odnosno postepeno rješavanje svih pristiglih zahtjeva.</w:t>
      </w:r>
    </w:p>
    <w:p w14:paraId="38F54A43" w14:textId="58C30B4B" w:rsidR="00E178A8" w:rsidRPr="005D2E47" w:rsidRDefault="00B373D1" w:rsidP="00210339">
      <w:pPr>
        <w:jc w:val="both"/>
        <w:rPr>
          <w:rFonts w:eastAsia="Calibri"/>
          <w:bCs/>
        </w:rPr>
      </w:pPr>
      <w:r w:rsidRPr="006E0AFE">
        <w:rPr>
          <w:lang w:eastAsia="en-US"/>
        </w:rPr>
        <w:t xml:space="preserve">U </w:t>
      </w:r>
      <w:r w:rsidRPr="006E0AFE">
        <w:rPr>
          <w:b/>
          <w:lang w:eastAsia="en-US"/>
        </w:rPr>
        <w:t>projekciji za 2022. i 2023. godinu</w:t>
      </w:r>
      <w:r w:rsidRPr="006E0AFE">
        <w:rPr>
          <w:lang w:eastAsia="en-US"/>
        </w:rPr>
        <w:t xml:space="preserve"> planira se porast prihoda od imovine u odnosu na 2021.</w:t>
      </w:r>
      <w:r w:rsidR="00FE48E9" w:rsidRPr="006E0AFE">
        <w:rPr>
          <w:lang w:eastAsia="en-US"/>
        </w:rPr>
        <w:t xml:space="preserve"> </w:t>
      </w:r>
      <w:r w:rsidRPr="006E0AFE">
        <w:rPr>
          <w:lang w:eastAsia="en-US"/>
        </w:rPr>
        <w:t>godinu</w:t>
      </w:r>
      <w:r w:rsidR="00FE48E9" w:rsidRPr="006E0AFE">
        <w:rPr>
          <w:lang w:eastAsia="en-US"/>
        </w:rPr>
        <w:t>,</w:t>
      </w:r>
      <w:r w:rsidRPr="006E0AFE">
        <w:rPr>
          <w:lang w:eastAsia="en-US"/>
        </w:rPr>
        <w:t xml:space="preserve"> i to kod zakupa i najma te kod koncesija uzimajući u obzir da bi u 2022.</w:t>
      </w:r>
      <w:r w:rsidR="00FE48E9" w:rsidRPr="006E0AFE">
        <w:rPr>
          <w:lang w:eastAsia="en-US"/>
        </w:rPr>
        <w:t xml:space="preserve"> </w:t>
      </w:r>
      <w:r w:rsidRPr="006E0AFE">
        <w:rPr>
          <w:lang w:eastAsia="en-US"/>
        </w:rPr>
        <w:t xml:space="preserve">godini ostvarivali prihode po dvije koncesije tijekom čitave godine. </w:t>
      </w:r>
    </w:p>
    <w:p w14:paraId="352ED05F" w14:textId="412ACC88" w:rsidR="009C442A" w:rsidRPr="006E0AFE" w:rsidRDefault="00741133" w:rsidP="00A31DD1">
      <w:pPr>
        <w:jc w:val="both"/>
        <w:rPr>
          <w:lang w:eastAsia="en-US"/>
        </w:rPr>
      </w:pPr>
      <w:r w:rsidRPr="006E0AFE">
        <w:rPr>
          <w:b/>
          <w:u w:val="single"/>
          <w:lang w:eastAsia="en-US"/>
        </w:rPr>
        <w:lastRenderedPageBreak/>
        <w:t>1</w:t>
      </w:r>
      <w:r w:rsidR="00DF228A" w:rsidRPr="006E0AFE">
        <w:rPr>
          <w:b/>
          <w:u w:val="single"/>
          <w:lang w:eastAsia="en-US"/>
        </w:rPr>
        <w:t>.</w:t>
      </w:r>
      <w:r w:rsidR="00AE4422" w:rsidRPr="006E0AFE">
        <w:rPr>
          <w:b/>
          <w:u w:val="single"/>
          <w:lang w:eastAsia="en-US"/>
        </w:rPr>
        <w:t>D.</w:t>
      </w:r>
      <w:r w:rsidRPr="006E0AFE">
        <w:rPr>
          <w:b/>
          <w:u w:val="single"/>
          <w:lang w:eastAsia="en-US"/>
        </w:rPr>
        <w:t xml:space="preserve"> Prihodi od upravnih i administrativnih pristojbi, pristojbi po posebnim propisima</w:t>
      </w:r>
      <w:r w:rsidRPr="006E0AFE">
        <w:rPr>
          <w:lang w:eastAsia="en-US"/>
        </w:rPr>
        <w:t xml:space="preserve"> </w:t>
      </w:r>
      <w:r w:rsidRPr="006E0AFE">
        <w:rPr>
          <w:bCs/>
          <w:lang w:eastAsia="en-US"/>
        </w:rPr>
        <w:t>obuhvaćaju</w:t>
      </w:r>
      <w:r w:rsidRPr="006E0AFE">
        <w:rPr>
          <w:lang w:eastAsia="en-US"/>
        </w:rPr>
        <w:t xml:space="preserve"> prihode od komunalne naknade i komunalnog doprinos</w:t>
      </w:r>
      <w:r w:rsidR="00FE48E9" w:rsidRPr="006E0AFE">
        <w:rPr>
          <w:lang w:eastAsia="en-US"/>
        </w:rPr>
        <w:t>a, upravne pristojbe i boravišne pristojbe te ostale prihode</w:t>
      </w:r>
      <w:r w:rsidRPr="006E0AFE">
        <w:rPr>
          <w:lang w:eastAsia="en-US"/>
        </w:rPr>
        <w:t xml:space="preserve"> po posebnim propisima (doprinos za šume, vodni doprinos, </w:t>
      </w:r>
      <w:r w:rsidR="00FE48E9" w:rsidRPr="006E0AFE">
        <w:rPr>
          <w:lang w:eastAsia="en-US"/>
        </w:rPr>
        <w:t xml:space="preserve">refundacije troškova, </w:t>
      </w:r>
      <w:r w:rsidRPr="006E0AFE">
        <w:rPr>
          <w:lang w:eastAsia="en-US"/>
        </w:rPr>
        <w:t xml:space="preserve">sufinanciranja cijene vrtića od strane roditelja). </w:t>
      </w:r>
      <w:r w:rsidR="00A31DD1" w:rsidRPr="006E0AFE">
        <w:rPr>
          <w:lang w:eastAsia="en-US"/>
        </w:rPr>
        <w:t xml:space="preserve">U okviru </w:t>
      </w:r>
      <w:r w:rsidR="00A31DD1" w:rsidRPr="006E0AFE">
        <w:rPr>
          <w:u w:val="single"/>
          <w:lang w:eastAsia="en-US"/>
        </w:rPr>
        <w:t>Upravnih i administrativnih te komunalnih prihoda</w:t>
      </w:r>
      <w:r w:rsidR="00A31DD1" w:rsidRPr="006E0AFE">
        <w:rPr>
          <w:lang w:eastAsia="en-US"/>
        </w:rPr>
        <w:t xml:space="preserve"> </w:t>
      </w:r>
      <w:r w:rsidRPr="006E0AFE">
        <w:rPr>
          <w:b/>
          <w:bCs/>
          <w:lang w:eastAsia="en-US"/>
        </w:rPr>
        <w:t xml:space="preserve">proračunom za </w:t>
      </w:r>
      <w:r w:rsidR="00055F66" w:rsidRPr="006E0AFE">
        <w:rPr>
          <w:b/>
          <w:bCs/>
          <w:lang w:eastAsia="en-US"/>
        </w:rPr>
        <w:t>2021</w:t>
      </w:r>
      <w:r w:rsidRPr="006E0AFE">
        <w:rPr>
          <w:b/>
          <w:bCs/>
          <w:lang w:eastAsia="en-US"/>
        </w:rPr>
        <w:t>.</w:t>
      </w:r>
      <w:r w:rsidR="00FE48E9" w:rsidRPr="006E0AFE">
        <w:rPr>
          <w:b/>
          <w:bCs/>
          <w:lang w:eastAsia="en-US"/>
        </w:rPr>
        <w:t xml:space="preserve"> </w:t>
      </w:r>
      <w:r w:rsidRPr="006E0AFE">
        <w:rPr>
          <w:b/>
          <w:bCs/>
          <w:lang w:eastAsia="en-US"/>
        </w:rPr>
        <w:t>godin</w:t>
      </w:r>
      <w:r w:rsidR="009178D2" w:rsidRPr="006E0AFE">
        <w:rPr>
          <w:b/>
          <w:bCs/>
          <w:lang w:eastAsia="en-US"/>
        </w:rPr>
        <w:t>u</w:t>
      </w:r>
      <w:r w:rsidRPr="006E0AFE">
        <w:rPr>
          <w:lang w:eastAsia="en-US"/>
        </w:rPr>
        <w:t xml:space="preserve"> </w:t>
      </w:r>
      <w:r w:rsidR="00A31DD1" w:rsidRPr="006E0AFE">
        <w:rPr>
          <w:lang w:eastAsia="en-US"/>
        </w:rPr>
        <w:t xml:space="preserve">planira se </w:t>
      </w:r>
      <w:r w:rsidR="007D3D75" w:rsidRPr="006E0AFE">
        <w:rPr>
          <w:lang w:eastAsia="en-US"/>
        </w:rPr>
        <w:t>povećanje</w:t>
      </w:r>
      <w:r w:rsidR="00A31DD1" w:rsidRPr="006E0AFE">
        <w:rPr>
          <w:lang w:eastAsia="en-US"/>
        </w:rPr>
        <w:t xml:space="preserve"> u odnosu na </w:t>
      </w:r>
      <w:r w:rsidR="00055F66" w:rsidRPr="006E0AFE">
        <w:rPr>
          <w:lang w:eastAsia="en-US"/>
        </w:rPr>
        <w:t>2020</w:t>
      </w:r>
      <w:r w:rsidR="00A31DD1" w:rsidRPr="006E0AFE">
        <w:rPr>
          <w:lang w:eastAsia="en-US"/>
        </w:rPr>
        <w:t>.</w:t>
      </w:r>
      <w:r w:rsidR="00FE48E9" w:rsidRPr="006E0AFE">
        <w:rPr>
          <w:lang w:eastAsia="en-US"/>
        </w:rPr>
        <w:t xml:space="preserve"> </w:t>
      </w:r>
      <w:r w:rsidR="00A31DD1" w:rsidRPr="006E0AFE">
        <w:rPr>
          <w:lang w:eastAsia="en-US"/>
        </w:rPr>
        <w:t>godinu (</w:t>
      </w:r>
      <w:r w:rsidR="007D3D75" w:rsidRPr="006E0AFE">
        <w:rPr>
          <w:lang w:eastAsia="en-US"/>
        </w:rPr>
        <w:t>+</w:t>
      </w:r>
      <w:r w:rsidR="00A31DD1" w:rsidRPr="006E0AFE">
        <w:rPr>
          <w:lang w:eastAsia="en-US"/>
        </w:rPr>
        <w:t xml:space="preserve"> </w:t>
      </w:r>
      <w:r w:rsidR="00F03530" w:rsidRPr="006E0AFE">
        <w:rPr>
          <w:lang w:eastAsia="en-US"/>
        </w:rPr>
        <w:t>15,8</w:t>
      </w:r>
      <w:r w:rsidR="007D3D75" w:rsidRPr="006E0AFE">
        <w:rPr>
          <w:lang w:eastAsia="en-US"/>
        </w:rPr>
        <w:t>%</w:t>
      </w:r>
      <w:r w:rsidR="00A31DD1" w:rsidRPr="006E0AFE">
        <w:rPr>
          <w:lang w:eastAsia="en-US"/>
        </w:rPr>
        <w:t xml:space="preserve">). Najveći razlog leži u </w:t>
      </w:r>
      <w:r w:rsidR="007D3D75" w:rsidRPr="006E0AFE">
        <w:rPr>
          <w:lang w:eastAsia="en-US"/>
        </w:rPr>
        <w:t>višim prihodima Dječjeg vrtića Matulji od sufinanciranja cijene smještaja koju plaćaju roditelji s obzirom da</w:t>
      </w:r>
      <w:r w:rsidR="00F03530" w:rsidRPr="006E0AFE">
        <w:rPr>
          <w:lang w:eastAsia="en-US"/>
        </w:rPr>
        <w:t xml:space="preserve"> su prihodi planirani u očekivanju da neće bit</w:t>
      </w:r>
      <w:r w:rsidR="00FE48E9" w:rsidRPr="006E0AFE">
        <w:rPr>
          <w:lang w:eastAsia="en-US"/>
        </w:rPr>
        <w:t>i obustave</w:t>
      </w:r>
      <w:r w:rsidR="00F03530" w:rsidRPr="006E0AFE">
        <w:rPr>
          <w:lang w:eastAsia="en-US"/>
        </w:rPr>
        <w:t xml:space="preserve"> rada vrtića uslijed epidemioloških mjera kao što je to bilo u dijelu 2020.</w:t>
      </w:r>
      <w:r w:rsidR="00FE48E9" w:rsidRPr="006E0AFE">
        <w:rPr>
          <w:lang w:eastAsia="en-US"/>
        </w:rPr>
        <w:t xml:space="preserve"> </w:t>
      </w:r>
      <w:r w:rsidR="00F03530" w:rsidRPr="006E0AFE">
        <w:rPr>
          <w:lang w:eastAsia="en-US"/>
        </w:rPr>
        <w:t>godine.</w:t>
      </w:r>
      <w:r w:rsidR="007D3D75" w:rsidRPr="006E0AFE">
        <w:rPr>
          <w:lang w:eastAsia="en-US"/>
        </w:rPr>
        <w:t xml:space="preserve"> Također se </w:t>
      </w:r>
      <w:r w:rsidR="00503E30" w:rsidRPr="006E0AFE">
        <w:rPr>
          <w:lang w:eastAsia="en-US"/>
        </w:rPr>
        <w:t xml:space="preserve">planira </w:t>
      </w:r>
      <w:r w:rsidR="007D3D75" w:rsidRPr="006E0AFE">
        <w:rPr>
          <w:lang w:eastAsia="en-US"/>
        </w:rPr>
        <w:t>povećava</w:t>
      </w:r>
      <w:r w:rsidR="00503E30" w:rsidRPr="006E0AFE">
        <w:rPr>
          <w:lang w:eastAsia="en-US"/>
        </w:rPr>
        <w:t>nje</w:t>
      </w:r>
      <w:r w:rsidR="007D3D75" w:rsidRPr="006E0AFE">
        <w:rPr>
          <w:lang w:eastAsia="en-US"/>
        </w:rPr>
        <w:t xml:space="preserve"> prihod</w:t>
      </w:r>
      <w:r w:rsidR="00503E30" w:rsidRPr="006E0AFE">
        <w:rPr>
          <w:lang w:eastAsia="en-US"/>
        </w:rPr>
        <w:t>a od komunalne naknade što je vezano uz učinke organizacije poslova naplate kroz veći obuhvat obveznika plaćanja i bolju naplatu.</w:t>
      </w:r>
      <w:r w:rsidR="007D3D75" w:rsidRPr="006E0AFE">
        <w:rPr>
          <w:lang w:eastAsia="en-US"/>
        </w:rPr>
        <w:t xml:space="preserve"> </w:t>
      </w:r>
      <w:r w:rsidR="00503E30" w:rsidRPr="006E0AFE">
        <w:rPr>
          <w:lang w:eastAsia="en-US"/>
        </w:rPr>
        <w:t xml:space="preserve">Nadalje, planira se povećanje prihoda od komunalnog doprinosa uzimajući u obzir da isti kontinuirano rastu kroz godine kao posljedica investicija. Blagi porast planira se i kod </w:t>
      </w:r>
      <w:r w:rsidR="007D3D75" w:rsidRPr="006E0AFE">
        <w:rPr>
          <w:lang w:eastAsia="en-US"/>
        </w:rPr>
        <w:t xml:space="preserve">boravišne pristojbe </w:t>
      </w:r>
      <w:r w:rsidR="00503E30" w:rsidRPr="006E0AFE">
        <w:rPr>
          <w:lang w:eastAsia="en-US"/>
        </w:rPr>
        <w:t>iako se još u 2021.</w:t>
      </w:r>
      <w:r w:rsidR="00FE48E9" w:rsidRPr="006E0AFE">
        <w:rPr>
          <w:lang w:eastAsia="en-US"/>
        </w:rPr>
        <w:t xml:space="preserve"> godini </w:t>
      </w:r>
      <w:r w:rsidR="00503E30" w:rsidRPr="006E0AFE">
        <w:rPr>
          <w:lang w:eastAsia="en-US"/>
        </w:rPr>
        <w:t>ne očekuje dostizanje rekordne 2019.</w:t>
      </w:r>
      <w:r w:rsidR="00FE48E9" w:rsidRPr="006E0AFE">
        <w:rPr>
          <w:lang w:eastAsia="en-US"/>
        </w:rPr>
        <w:t xml:space="preserve"> godine,</w:t>
      </w:r>
      <w:r w:rsidR="00503E30" w:rsidRPr="006E0AFE">
        <w:rPr>
          <w:lang w:eastAsia="en-US"/>
        </w:rPr>
        <w:t xml:space="preserve"> ali vjerujemo da će ipak biti solidna turistička sezona. Konačno</w:t>
      </w:r>
      <w:r w:rsidR="00FE48E9" w:rsidRPr="006E0AFE">
        <w:rPr>
          <w:lang w:eastAsia="en-US"/>
        </w:rPr>
        <w:t>,</w:t>
      </w:r>
      <w:r w:rsidR="00503E30" w:rsidRPr="006E0AFE">
        <w:rPr>
          <w:lang w:eastAsia="en-US"/>
        </w:rPr>
        <w:t xml:space="preserve"> u okviru ove skupine prihoda pri</w:t>
      </w:r>
      <w:r w:rsidR="00FE48E9" w:rsidRPr="006E0AFE">
        <w:rPr>
          <w:lang w:eastAsia="en-US"/>
        </w:rPr>
        <w:t xml:space="preserve">hodi </w:t>
      </w:r>
      <w:r w:rsidR="00503E30" w:rsidRPr="006E0AFE">
        <w:rPr>
          <w:lang w:eastAsia="en-US"/>
        </w:rPr>
        <w:t xml:space="preserve">vodnog i šumskog doprinosa planiraju se niži u odnosu na plan za </w:t>
      </w:r>
      <w:r w:rsidR="00FE48E9" w:rsidRPr="006E0AFE">
        <w:rPr>
          <w:lang w:eastAsia="en-US"/>
        </w:rPr>
        <w:t xml:space="preserve">2020. </w:t>
      </w:r>
      <w:r w:rsidR="00503E30" w:rsidRPr="006E0AFE">
        <w:rPr>
          <w:lang w:eastAsia="en-US"/>
        </w:rPr>
        <w:t>godinu s obzirom da su se izmjenama</w:t>
      </w:r>
      <w:r w:rsidR="00FE48E9" w:rsidRPr="006E0AFE">
        <w:rPr>
          <w:lang w:eastAsia="en-US"/>
        </w:rPr>
        <w:t xml:space="preserve"> propisa smanjila davanja po toj</w:t>
      </w:r>
      <w:r w:rsidR="00503E30" w:rsidRPr="006E0AFE">
        <w:rPr>
          <w:lang w:eastAsia="en-US"/>
        </w:rPr>
        <w:t xml:space="preserve"> osnov</w:t>
      </w:r>
      <w:r w:rsidR="00FE48E9" w:rsidRPr="006E0AFE">
        <w:rPr>
          <w:lang w:eastAsia="en-US"/>
        </w:rPr>
        <w:t>i</w:t>
      </w:r>
      <w:r w:rsidR="00503E30" w:rsidRPr="006E0AFE">
        <w:rPr>
          <w:lang w:eastAsia="en-US"/>
        </w:rPr>
        <w:t xml:space="preserve"> dok se prihodi od refun</w:t>
      </w:r>
      <w:r w:rsidR="002A1EDD">
        <w:rPr>
          <w:lang w:eastAsia="en-US"/>
        </w:rPr>
        <w:t>da</w:t>
      </w:r>
      <w:r w:rsidR="00503E30" w:rsidRPr="006E0AFE">
        <w:rPr>
          <w:lang w:eastAsia="en-US"/>
        </w:rPr>
        <w:t>cija troškova</w:t>
      </w:r>
      <w:r w:rsidR="00FE48E9" w:rsidRPr="006E0AFE">
        <w:rPr>
          <w:lang w:eastAsia="en-US"/>
        </w:rPr>
        <w:t xml:space="preserve"> planiraju na istoj razini kao </w:t>
      </w:r>
      <w:r w:rsidR="00503E30" w:rsidRPr="006E0AFE">
        <w:rPr>
          <w:lang w:eastAsia="en-US"/>
        </w:rPr>
        <w:t>za 2020.</w:t>
      </w:r>
      <w:r w:rsidR="00FE48E9" w:rsidRPr="006E0AFE">
        <w:rPr>
          <w:lang w:eastAsia="en-US"/>
        </w:rPr>
        <w:t xml:space="preserve"> </w:t>
      </w:r>
      <w:r w:rsidR="00503E30" w:rsidRPr="006E0AFE">
        <w:rPr>
          <w:lang w:eastAsia="en-US"/>
        </w:rPr>
        <w:t>godinu.</w:t>
      </w:r>
    </w:p>
    <w:p w14:paraId="5FFC92CB" w14:textId="77777777" w:rsidR="00621203" w:rsidRPr="006E0AFE" w:rsidRDefault="00621203" w:rsidP="00621203">
      <w:pPr>
        <w:jc w:val="both"/>
        <w:rPr>
          <w:rFonts w:eastAsia="Calibri"/>
          <w:bCs/>
        </w:rPr>
      </w:pPr>
      <w:r w:rsidRPr="006E0AFE">
        <w:rPr>
          <w:lang w:eastAsia="en-US"/>
        </w:rPr>
        <w:t xml:space="preserve">U </w:t>
      </w:r>
      <w:r w:rsidRPr="006E0AFE">
        <w:rPr>
          <w:b/>
          <w:lang w:eastAsia="en-US"/>
        </w:rPr>
        <w:t>projekciji za 2022. i 2023</w:t>
      </w:r>
      <w:r w:rsidRPr="006E0AFE">
        <w:rPr>
          <w:lang w:eastAsia="en-US"/>
        </w:rPr>
        <w:t xml:space="preserve">. </w:t>
      </w:r>
      <w:r w:rsidRPr="006E0AFE">
        <w:rPr>
          <w:b/>
          <w:lang w:eastAsia="en-US"/>
        </w:rPr>
        <w:t>godinu</w:t>
      </w:r>
      <w:r w:rsidRPr="006E0AFE">
        <w:rPr>
          <w:lang w:eastAsia="en-US"/>
        </w:rPr>
        <w:t xml:space="preserve"> </w:t>
      </w:r>
      <w:r w:rsidR="009178D2" w:rsidRPr="006E0AFE">
        <w:rPr>
          <w:lang w:eastAsia="en-US"/>
        </w:rPr>
        <w:t>k</w:t>
      </w:r>
      <w:r w:rsidRPr="006E0AFE">
        <w:rPr>
          <w:lang w:eastAsia="en-US"/>
        </w:rPr>
        <w:t xml:space="preserve">ako </w:t>
      </w:r>
      <w:r w:rsidR="009178D2" w:rsidRPr="006E0AFE">
        <w:rPr>
          <w:lang w:eastAsia="en-US"/>
        </w:rPr>
        <w:t xml:space="preserve">je ranije već istaknuto, ne planira se </w:t>
      </w:r>
      <w:r w:rsidRPr="006E0AFE">
        <w:rPr>
          <w:lang w:eastAsia="en-US"/>
        </w:rPr>
        <w:t xml:space="preserve">povećanje vrijednosti boda komunalne naknade </w:t>
      </w:r>
      <w:r w:rsidR="009178D2" w:rsidRPr="006E0AFE">
        <w:rPr>
          <w:lang w:eastAsia="en-US"/>
        </w:rPr>
        <w:t>iako je to bilo predviđeno u važećoj projekciji usvojenoj uz Proračun za 2020.</w:t>
      </w:r>
      <w:r w:rsidR="00FE48E9" w:rsidRPr="006E0AFE">
        <w:rPr>
          <w:lang w:eastAsia="en-US"/>
        </w:rPr>
        <w:t xml:space="preserve"> </w:t>
      </w:r>
      <w:r w:rsidR="009178D2" w:rsidRPr="006E0AFE">
        <w:rPr>
          <w:lang w:eastAsia="en-US"/>
        </w:rPr>
        <w:t>godinu. Bez obzira na tu činjenicu planira se postupno povećanje prihoda od komunalne naknade (+5% po godini) što se temelji</w:t>
      </w:r>
      <w:r w:rsidRPr="006E0AFE">
        <w:rPr>
          <w:lang w:eastAsia="en-US"/>
        </w:rPr>
        <w:t xml:space="preserve"> </w:t>
      </w:r>
      <w:r w:rsidR="009178D2" w:rsidRPr="006E0AFE">
        <w:rPr>
          <w:lang w:eastAsia="en-US"/>
        </w:rPr>
        <w:t xml:space="preserve">na očekivanju izgradnje novih objekata na koje se plaća komunalna naknada te učincima </w:t>
      </w:r>
      <w:r w:rsidRPr="006E0AFE">
        <w:rPr>
          <w:lang w:eastAsia="en-US"/>
        </w:rPr>
        <w:t>organizacij</w:t>
      </w:r>
      <w:r w:rsidR="009178D2" w:rsidRPr="006E0AFE">
        <w:rPr>
          <w:lang w:eastAsia="en-US"/>
        </w:rPr>
        <w:t>e poslova naplate</w:t>
      </w:r>
      <w:r w:rsidRPr="006E0AFE">
        <w:rPr>
          <w:lang w:eastAsia="en-US"/>
        </w:rPr>
        <w:t xml:space="preserve"> unutar odjela</w:t>
      </w:r>
      <w:r w:rsidR="009178D2" w:rsidRPr="006E0AFE">
        <w:rPr>
          <w:lang w:eastAsia="en-US"/>
        </w:rPr>
        <w:t>.</w:t>
      </w:r>
      <w:r w:rsidRPr="006E0AFE">
        <w:rPr>
          <w:rFonts w:eastAsia="Calibri"/>
          <w:bCs/>
        </w:rPr>
        <w:t xml:space="preserve"> Osim prihoda od komunalne naknade </w:t>
      </w:r>
      <w:r w:rsidR="009178D2" w:rsidRPr="006E0AFE">
        <w:rPr>
          <w:rFonts w:eastAsia="Calibri"/>
          <w:bCs/>
        </w:rPr>
        <w:t xml:space="preserve">projekcijom se </w:t>
      </w:r>
      <w:r w:rsidRPr="006E0AFE">
        <w:rPr>
          <w:rFonts w:eastAsia="Calibri"/>
          <w:bCs/>
        </w:rPr>
        <w:t xml:space="preserve">planira </w:t>
      </w:r>
      <w:r w:rsidR="009178D2" w:rsidRPr="006E0AFE">
        <w:rPr>
          <w:rFonts w:eastAsia="Calibri"/>
          <w:bCs/>
        </w:rPr>
        <w:t xml:space="preserve">značajno </w:t>
      </w:r>
      <w:r w:rsidRPr="006E0AFE">
        <w:rPr>
          <w:rFonts w:eastAsia="Calibri"/>
          <w:bCs/>
        </w:rPr>
        <w:t>povećanje prihoda od komunalnog doprinosa kao rezultat izmjena Prostornog plana Općine</w:t>
      </w:r>
      <w:r w:rsidR="009178D2" w:rsidRPr="006E0AFE">
        <w:rPr>
          <w:rFonts w:eastAsia="Calibri"/>
          <w:bCs/>
        </w:rPr>
        <w:t xml:space="preserve"> te donošenja urbanističkih i detaljnih planova te aktiviranja poduzetničkih zona</w:t>
      </w:r>
      <w:r w:rsidRPr="006E0AFE">
        <w:rPr>
          <w:rFonts w:eastAsia="Calibri"/>
          <w:bCs/>
        </w:rPr>
        <w:t xml:space="preserve"> </w:t>
      </w:r>
      <w:r w:rsidR="009178D2" w:rsidRPr="006E0AFE">
        <w:rPr>
          <w:rFonts w:eastAsia="Calibri"/>
          <w:bCs/>
        </w:rPr>
        <w:t xml:space="preserve">(prvenstveno RZ </w:t>
      </w:r>
      <w:proofErr w:type="spellStart"/>
      <w:r w:rsidR="009178D2" w:rsidRPr="006E0AFE">
        <w:rPr>
          <w:rFonts w:eastAsia="Calibri"/>
          <w:bCs/>
        </w:rPr>
        <w:t>Miklavija</w:t>
      </w:r>
      <w:proofErr w:type="spellEnd"/>
      <w:r w:rsidR="009178D2" w:rsidRPr="006E0AFE">
        <w:rPr>
          <w:rFonts w:eastAsia="Calibri"/>
          <w:bCs/>
        </w:rPr>
        <w:t>) što bi trebalo rezultirati gradnjom novih objekata prvenstveno gospodarske namjene</w:t>
      </w:r>
      <w:r w:rsidR="00FE48E9" w:rsidRPr="006E0AFE">
        <w:rPr>
          <w:rFonts w:eastAsia="Calibri"/>
          <w:bCs/>
        </w:rPr>
        <w:t>,</w:t>
      </w:r>
      <w:r w:rsidR="009178D2" w:rsidRPr="006E0AFE">
        <w:rPr>
          <w:rFonts w:eastAsia="Calibri"/>
          <w:bCs/>
        </w:rPr>
        <w:t xml:space="preserve"> ali i gradnjom novih stambenih objekata.</w:t>
      </w:r>
      <w:r w:rsidRPr="006E0AFE">
        <w:rPr>
          <w:rFonts w:eastAsia="Calibri"/>
          <w:bCs/>
        </w:rPr>
        <w:t xml:space="preserve"> </w:t>
      </w:r>
      <w:r w:rsidR="009178D2" w:rsidRPr="006E0AFE">
        <w:rPr>
          <w:rFonts w:eastAsia="Calibri"/>
          <w:bCs/>
        </w:rPr>
        <w:t>Projekcijom se planira značajnije povećanje prihoda od boravišne pristojbe iako se u apsolutnom iznosu ne radi o značajnijem prihodu budući se očekuje da 2022.</w:t>
      </w:r>
      <w:r w:rsidR="00FE48E9" w:rsidRPr="006E0AFE">
        <w:rPr>
          <w:rFonts w:eastAsia="Calibri"/>
          <w:bCs/>
        </w:rPr>
        <w:t xml:space="preserve"> </w:t>
      </w:r>
      <w:r w:rsidR="009178D2" w:rsidRPr="006E0AFE">
        <w:rPr>
          <w:rFonts w:eastAsia="Calibri"/>
          <w:bCs/>
        </w:rPr>
        <w:t xml:space="preserve">godina </w:t>
      </w:r>
      <w:r w:rsidR="00F03530" w:rsidRPr="006E0AFE">
        <w:rPr>
          <w:rFonts w:eastAsia="Calibri"/>
          <w:bCs/>
        </w:rPr>
        <w:t xml:space="preserve">bude normalna turistička godina. </w:t>
      </w:r>
      <w:r w:rsidRPr="006E0AFE">
        <w:rPr>
          <w:rFonts w:eastAsia="Calibri"/>
          <w:bCs/>
        </w:rPr>
        <w:t xml:space="preserve">Ostali prihodi </w:t>
      </w:r>
      <w:r w:rsidR="00F03530" w:rsidRPr="006E0AFE">
        <w:rPr>
          <w:rFonts w:eastAsia="Calibri"/>
          <w:bCs/>
        </w:rPr>
        <w:t xml:space="preserve">unutar ove skupine </w:t>
      </w:r>
      <w:r w:rsidRPr="006E0AFE">
        <w:rPr>
          <w:rFonts w:eastAsia="Calibri"/>
          <w:bCs/>
        </w:rPr>
        <w:t>za 2022. i 2023.godinu planiraju se u bitnom na razini 2021.</w:t>
      </w:r>
      <w:r w:rsidR="00FE48E9" w:rsidRPr="006E0AFE">
        <w:rPr>
          <w:rFonts w:eastAsia="Calibri"/>
          <w:bCs/>
        </w:rPr>
        <w:t xml:space="preserve"> </w:t>
      </w:r>
      <w:r w:rsidRPr="006E0AFE">
        <w:rPr>
          <w:rFonts w:eastAsia="Calibri"/>
          <w:bCs/>
        </w:rPr>
        <w:t>godine odnosno bez značajnih odstupanja.</w:t>
      </w:r>
    </w:p>
    <w:p w14:paraId="77985E1E" w14:textId="77777777" w:rsidR="00621203" w:rsidRPr="006E0AFE" w:rsidRDefault="00621203" w:rsidP="00A31DD1">
      <w:pPr>
        <w:jc w:val="both"/>
        <w:rPr>
          <w:highlight w:val="yellow"/>
          <w:lang w:eastAsia="en-US"/>
        </w:rPr>
      </w:pPr>
    </w:p>
    <w:p w14:paraId="2B5FA614" w14:textId="77777777" w:rsidR="008C0AF2" w:rsidRPr="006E0AFE" w:rsidRDefault="00210339" w:rsidP="008C0AF2">
      <w:pPr>
        <w:jc w:val="both"/>
        <w:rPr>
          <w:lang w:eastAsia="en-US"/>
        </w:rPr>
      </w:pPr>
      <w:r w:rsidRPr="006E0AFE">
        <w:rPr>
          <w:b/>
          <w:u w:val="single"/>
          <w:lang w:eastAsia="en-US"/>
        </w:rPr>
        <w:t>1</w:t>
      </w:r>
      <w:r w:rsidR="00DF228A" w:rsidRPr="006E0AFE">
        <w:rPr>
          <w:b/>
          <w:u w:val="single"/>
          <w:lang w:eastAsia="en-US"/>
        </w:rPr>
        <w:t>.</w:t>
      </w:r>
      <w:r w:rsidR="00AE4422" w:rsidRPr="006E0AFE">
        <w:rPr>
          <w:b/>
          <w:u w:val="single"/>
          <w:lang w:eastAsia="en-US"/>
        </w:rPr>
        <w:t>E.</w:t>
      </w:r>
      <w:r w:rsidRPr="006E0AFE">
        <w:rPr>
          <w:b/>
          <w:u w:val="single"/>
          <w:lang w:eastAsia="en-US"/>
        </w:rPr>
        <w:t xml:space="preserve"> Prihodi od prodaje proizvoda i usluga i donacij</w:t>
      </w:r>
      <w:r w:rsidR="003604FA" w:rsidRPr="006E0AFE">
        <w:rPr>
          <w:b/>
          <w:u w:val="single"/>
          <w:lang w:eastAsia="en-US"/>
        </w:rPr>
        <w:t>e</w:t>
      </w:r>
      <w:r w:rsidRPr="006E0AFE">
        <w:rPr>
          <w:b/>
          <w:lang w:eastAsia="en-US"/>
        </w:rPr>
        <w:t xml:space="preserve"> </w:t>
      </w:r>
      <w:r w:rsidRPr="006E0AFE">
        <w:rPr>
          <w:lang w:eastAsia="en-US"/>
        </w:rPr>
        <w:t xml:space="preserve">sastoje se iz </w:t>
      </w:r>
      <w:r w:rsidRPr="006E0AFE">
        <w:rPr>
          <w:u w:val="single"/>
          <w:lang w:eastAsia="en-US"/>
        </w:rPr>
        <w:t>prihoda od pruženih usluga</w:t>
      </w:r>
      <w:r w:rsidRPr="006E0AFE">
        <w:rPr>
          <w:lang w:eastAsia="en-US"/>
        </w:rPr>
        <w:t xml:space="preserve"> (prihodi koje ostvaruje Općina na </w:t>
      </w:r>
      <w:r w:rsidRPr="002C5960">
        <w:rPr>
          <w:lang w:eastAsia="en-US"/>
        </w:rPr>
        <w:t>ime</w:t>
      </w:r>
      <w:r w:rsidR="004C7BEC" w:rsidRPr="002C5960">
        <w:rPr>
          <w:lang w:eastAsia="en-US"/>
        </w:rPr>
        <w:t xml:space="preserve"> obavljanja poslova obračuna i naplate naknade za uređenje voda</w:t>
      </w:r>
      <w:r w:rsidRPr="006E0AFE">
        <w:rPr>
          <w:lang w:eastAsia="en-US"/>
        </w:rPr>
        <w:t xml:space="preserve"> kao i prihodi od usluga koje o</w:t>
      </w:r>
      <w:r w:rsidR="00244C0E" w:rsidRPr="006E0AFE">
        <w:rPr>
          <w:lang w:eastAsia="en-US"/>
        </w:rPr>
        <w:t>stvaruju proračunski korisnici) te</w:t>
      </w:r>
      <w:r w:rsidRPr="006E0AFE">
        <w:rPr>
          <w:lang w:eastAsia="en-US"/>
        </w:rPr>
        <w:t xml:space="preserve"> </w:t>
      </w:r>
      <w:r w:rsidRPr="006E0AFE">
        <w:rPr>
          <w:u w:val="single"/>
          <w:lang w:eastAsia="en-US"/>
        </w:rPr>
        <w:t>prihod</w:t>
      </w:r>
      <w:r w:rsidR="002C5960">
        <w:rPr>
          <w:u w:val="single"/>
          <w:lang w:eastAsia="en-US"/>
        </w:rPr>
        <w:t>a</w:t>
      </w:r>
      <w:r w:rsidRPr="006E0AFE">
        <w:rPr>
          <w:u w:val="single"/>
          <w:lang w:eastAsia="en-US"/>
        </w:rPr>
        <w:t xml:space="preserve"> od tekućih donacija</w:t>
      </w:r>
      <w:r w:rsidRPr="006E0AFE">
        <w:rPr>
          <w:lang w:eastAsia="en-US"/>
        </w:rPr>
        <w:t xml:space="preserve"> </w:t>
      </w:r>
      <w:r w:rsidR="002C5960">
        <w:rPr>
          <w:lang w:eastAsia="en-US"/>
        </w:rPr>
        <w:t xml:space="preserve">koji </w:t>
      </w:r>
      <w:r w:rsidRPr="006E0AFE">
        <w:rPr>
          <w:lang w:eastAsia="en-US"/>
        </w:rPr>
        <w:t>obuhvaćaju donacije pravnih ili fizičkih osoba za provedbu određenih</w:t>
      </w:r>
      <w:r w:rsidR="004C7BEC" w:rsidRPr="006E0AFE">
        <w:rPr>
          <w:lang w:eastAsia="en-US"/>
        </w:rPr>
        <w:t xml:space="preserve"> programa/projekata Općine ili p</w:t>
      </w:r>
      <w:r w:rsidRPr="006E0AFE">
        <w:rPr>
          <w:lang w:eastAsia="en-US"/>
        </w:rPr>
        <w:t xml:space="preserve">roračunskih korisnika te </w:t>
      </w:r>
      <w:r w:rsidR="002C5960">
        <w:rPr>
          <w:u w:val="single"/>
          <w:lang w:eastAsia="en-US"/>
        </w:rPr>
        <w:t>prihoda</w:t>
      </w:r>
      <w:r w:rsidRPr="006E0AFE">
        <w:rPr>
          <w:u w:val="single"/>
          <w:lang w:eastAsia="en-US"/>
        </w:rPr>
        <w:t xml:space="preserve"> od kapitalnih donacija</w:t>
      </w:r>
      <w:r w:rsidRPr="006E0AFE">
        <w:rPr>
          <w:lang w:eastAsia="en-US"/>
        </w:rPr>
        <w:t xml:space="preserve"> koji obuhvaćaju donacije za realizaciju kapitalnih projekata dobivene iz drugih institucija, pravnih ili fizičkih osoba izvan opće države (izvan proračuni). </w:t>
      </w:r>
      <w:r w:rsidR="00503E30" w:rsidRPr="006E0AFE">
        <w:rPr>
          <w:b/>
          <w:bCs/>
          <w:lang w:eastAsia="en-US"/>
        </w:rPr>
        <w:t>Proračunom za 2021.</w:t>
      </w:r>
      <w:r w:rsidR="00FC624D" w:rsidRPr="006E0AFE">
        <w:rPr>
          <w:b/>
          <w:bCs/>
          <w:lang w:eastAsia="en-US"/>
        </w:rPr>
        <w:t xml:space="preserve"> </w:t>
      </w:r>
      <w:r w:rsidR="00503E30" w:rsidRPr="006E0AFE">
        <w:rPr>
          <w:b/>
          <w:bCs/>
          <w:lang w:eastAsia="en-US"/>
        </w:rPr>
        <w:t>godinu</w:t>
      </w:r>
      <w:r w:rsidR="00503E30" w:rsidRPr="006E0AFE">
        <w:rPr>
          <w:lang w:eastAsia="en-US"/>
        </w:rPr>
        <w:t xml:space="preserve"> kod</w:t>
      </w:r>
      <w:r w:rsidR="00A31DD1" w:rsidRPr="006E0AFE">
        <w:rPr>
          <w:lang w:eastAsia="en-US"/>
        </w:rPr>
        <w:t xml:space="preserve"> </w:t>
      </w:r>
      <w:r w:rsidR="00A31DD1" w:rsidRPr="006E0AFE">
        <w:rPr>
          <w:u w:val="single"/>
          <w:lang w:eastAsia="en-US"/>
        </w:rPr>
        <w:t>Prihoda od prodaje proizvoda i usluga</w:t>
      </w:r>
      <w:r w:rsidR="00244C0E" w:rsidRPr="006E0AFE">
        <w:rPr>
          <w:u w:val="single"/>
          <w:lang w:eastAsia="en-US"/>
        </w:rPr>
        <w:t xml:space="preserve"> i donacija</w:t>
      </w:r>
      <w:r w:rsidR="00A31DD1" w:rsidRPr="006E0AFE">
        <w:rPr>
          <w:lang w:eastAsia="en-US"/>
        </w:rPr>
        <w:t xml:space="preserve"> planira se </w:t>
      </w:r>
      <w:r w:rsidR="00446570" w:rsidRPr="006E0AFE">
        <w:rPr>
          <w:lang w:eastAsia="en-US"/>
        </w:rPr>
        <w:t xml:space="preserve">znatnije povećanje </w:t>
      </w:r>
      <w:r w:rsidR="00A31DD1" w:rsidRPr="006E0AFE">
        <w:rPr>
          <w:lang w:eastAsia="en-US"/>
        </w:rPr>
        <w:t xml:space="preserve"> u odnosu na </w:t>
      </w:r>
      <w:r w:rsidR="00055F66" w:rsidRPr="006E0AFE">
        <w:rPr>
          <w:lang w:eastAsia="en-US"/>
        </w:rPr>
        <w:t>2020</w:t>
      </w:r>
      <w:r w:rsidR="00A31DD1" w:rsidRPr="006E0AFE">
        <w:rPr>
          <w:lang w:eastAsia="en-US"/>
        </w:rPr>
        <w:t>.</w:t>
      </w:r>
      <w:r w:rsidR="00FC624D" w:rsidRPr="006E0AFE">
        <w:rPr>
          <w:lang w:eastAsia="en-US"/>
        </w:rPr>
        <w:t xml:space="preserve"> </w:t>
      </w:r>
      <w:r w:rsidR="00A31DD1" w:rsidRPr="006E0AFE">
        <w:rPr>
          <w:lang w:eastAsia="en-US"/>
        </w:rPr>
        <w:t>godinu</w:t>
      </w:r>
      <w:r w:rsidR="00446570" w:rsidRPr="006E0AFE">
        <w:rPr>
          <w:lang w:eastAsia="en-US"/>
        </w:rPr>
        <w:t xml:space="preserve">. </w:t>
      </w:r>
      <w:r w:rsidR="00FC624D" w:rsidRPr="006E0AFE">
        <w:rPr>
          <w:lang w:eastAsia="en-US"/>
        </w:rPr>
        <w:t>Navedeno je prvenstveno iz razloga što se planiraju znatno v</w:t>
      </w:r>
      <w:r w:rsidR="00446570" w:rsidRPr="006E0AFE">
        <w:rPr>
          <w:lang w:eastAsia="en-US"/>
        </w:rPr>
        <w:t xml:space="preserve">iši prihodi od donacija koji se odnose na projekt </w:t>
      </w:r>
      <w:r w:rsidR="00FC624D" w:rsidRPr="006E0AFE">
        <w:rPr>
          <w:lang w:eastAsia="en-US"/>
        </w:rPr>
        <w:t xml:space="preserve">iz EU fondova </w:t>
      </w:r>
      <w:r w:rsidR="00446570" w:rsidRPr="006E0AFE">
        <w:rPr>
          <w:lang w:eastAsia="en-US"/>
        </w:rPr>
        <w:t>„</w:t>
      </w:r>
      <w:r w:rsidR="00FC624D" w:rsidRPr="006E0AFE">
        <w:rPr>
          <w:lang w:eastAsia="en-US"/>
        </w:rPr>
        <w:t>Aktivni umirovljenici - dugovječni stanovnici</w:t>
      </w:r>
      <w:r w:rsidR="00446570" w:rsidRPr="006E0AFE">
        <w:rPr>
          <w:lang w:eastAsia="en-US"/>
        </w:rPr>
        <w:t>“ gdje je Općina partner, a Udruga umirovljenika nosi</w:t>
      </w:r>
      <w:r w:rsidR="00FC624D" w:rsidRPr="006E0AFE">
        <w:rPr>
          <w:lang w:eastAsia="en-US"/>
        </w:rPr>
        <w:t xml:space="preserve">telj, </w:t>
      </w:r>
      <w:r w:rsidR="00244C0E" w:rsidRPr="006E0AFE">
        <w:rPr>
          <w:lang w:eastAsia="en-US"/>
        </w:rPr>
        <w:t xml:space="preserve">a </w:t>
      </w:r>
      <w:r w:rsidR="00FC624D" w:rsidRPr="006E0AFE">
        <w:rPr>
          <w:lang w:eastAsia="en-US"/>
        </w:rPr>
        <w:t>sredstva se</w:t>
      </w:r>
      <w:r w:rsidR="00446570" w:rsidRPr="006E0AFE">
        <w:rPr>
          <w:lang w:eastAsia="en-US"/>
        </w:rPr>
        <w:t xml:space="preserve"> planira</w:t>
      </w:r>
      <w:r w:rsidR="00FC624D" w:rsidRPr="006E0AFE">
        <w:rPr>
          <w:lang w:eastAsia="en-US"/>
        </w:rPr>
        <w:t>ju</w:t>
      </w:r>
      <w:r w:rsidR="00446570" w:rsidRPr="006E0AFE">
        <w:rPr>
          <w:lang w:eastAsia="en-US"/>
        </w:rPr>
        <w:t xml:space="preserve"> za </w:t>
      </w:r>
      <w:r w:rsidR="00FC624D" w:rsidRPr="006E0AFE">
        <w:rPr>
          <w:lang w:eastAsia="en-US"/>
        </w:rPr>
        <w:t>rashode</w:t>
      </w:r>
      <w:r w:rsidR="00446570" w:rsidRPr="006E0AFE">
        <w:rPr>
          <w:lang w:eastAsia="en-US"/>
        </w:rPr>
        <w:t xml:space="preserve"> koje će imati Općina u provedbi projekta</w:t>
      </w:r>
      <w:r w:rsidR="00FC624D" w:rsidRPr="006E0AFE">
        <w:rPr>
          <w:lang w:eastAsia="en-US"/>
        </w:rPr>
        <w:t xml:space="preserve">. </w:t>
      </w:r>
      <w:r w:rsidR="00446570" w:rsidRPr="006E0AFE">
        <w:rPr>
          <w:lang w:eastAsia="en-US"/>
        </w:rPr>
        <w:t>Od ostalih vrsta prihoda unutar ove skupine</w:t>
      </w:r>
      <w:r w:rsidR="00FC624D" w:rsidRPr="006E0AFE">
        <w:rPr>
          <w:lang w:eastAsia="en-US"/>
        </w:rPr>
        <w:t xml:space="preserve">, planiraju se na razini 2020. godine (prihodi za vođenje poslova obračuna i naplate naknade za uređenje voda te prihodi od pruženih usluga </w:t>
      </w:r>
      <w:r w:rsidR="00A7435D" w:rsidRPr="006E0AFE">
        <w:rPr>
          <w:lang w:eastAsia="en-US"/>
        </w:rPr>
        <w:t xml:space="preserve">za pripremu obroka </w:t>
      </w:r>
      <w:r w:rsidR="00FC624D" w:rsidRPr="006E0AFE">
        <w:rPr>
          <w:lang w:eastAsia="en-US"/>
        </w:rPr>
        <w:t>kod Dječjeg vrtića Matulji).</w:t>
      </w:r>
      <w:r w:rsidR="00A7435D" w:rsidRPr="006E0AFE">
        <w:rPr>
          <w:lang w:eastAsia="en-US"/>
        </w:rPr>
        <w:t xml:space="preserve"> </w:t>
      </w:r>
      <w:r w:rsidR="008C0AF2" w:rsidRPr="006E0AFE">
        <w:rPr>
          <w:lang w:eastAsia="en-US"/>
        </w:rPr>
        <w:t xml:space="preserve">U </w:t>
      </w:r>
      <w:r w:rsidR="00FC624D" w:rsidRPr="006E0AFE">
        <w:rPr>
          <w:b/>
          <w:lang w:eastAsia="en-US"/>
        </w:rPr>
        <w:t>projekcijama</w:t>
      </w:r>
      <w:r w:rsidR="008C0AF2" w:rsidRPr="006E0AFE">
        <w:rPr>
          <w:b/>
          <w:lang w:eastAsia="en-US"/>
        </w:rPr>
        <w:t xml:space="preserve"> za 2022. i 2023</w:t>
      </w:r>
      <w:r w:rsidR="008C0AF2" w:rsidRPr="006E0AFE">
        <w:rPr>
          <w:lang w:eastAsia="en-US"/>
        </w:rPr>
        <w:t xml:space="preserve">. godinu </w:t>
      </w:r>
      <w:r w:rsidR="00FC624D" w:rsidRPr="006E0AFE">
        <w:rPr>
          <w:lang w:eastAsia="en-US"/>
        </w:rPr>
        <w:t>prihodi od</w:t>
      </w:r>
      <w:r w:rsidR="00FC624D" w:rsidRPr="006E0AFE">
        <w:t xml:space="preserve"> </w:t>
      </w:r>
      <w:r w:rsidR="00FC624D" w:rsidRPr="006E0AFE">
        <w:rPr>
          <w:lang w:eastAsia="en-US"/>
        </w:rPr>
        <w:t>prodaje proizvoda i usluga i donacije kreću se na razini 2021. godine te se odnose na istu vrstu prihoda (prihodi od donacije za proj</w:t>
      </w:r>
      <w:r w:rsidR="00A7435D" w:rsidRPr="006E0AFE">
        <w:rPr>
          <w:lang w:eastAsia="en-US"/>
        </w:rPr>
        <w:t>ekt, prihodi od Hrvatskih voda te</w:t>
      </w:r>
      <w:r w:rsidR="00FC624D" w:rsidRPr="006E0AFE">
        <w:rPr>
          <w:lang w:eastAsia="en-US"/>
        </w:rPr>
        <w:t xml:space="preserve"> prihodi od</w:t>
      </w:r>
      <w:r w:rsidR="00FC624D" w:rsidRPr="006E0AFE">
        <w:t xml:space="preserve"> </w:t>
      </w:r>
      <w:r w:rsidR="00FC624D" w:rsidRPr="006E0AFE">
        <w:rPr>
          <w:lang w:eastAsia="en-US"/>
        </w:rPr>
        <w:t>pruženih usluga kod Dječjeg vrtića Matulji)</w:t>
      </w:r>
    </w:p>
    <w:p w14:paraId="0F730670" w14:textId="77777777" w:rsidR="008C0AF2" w:rsidRPr="006E0AFE" w:rsidRDefault="008C0AF2" w:rsidP="00A31DD1">
      <w:pPr>
        <w:jc w:val="both"/>
        <w:rPr>
          <w:lang w:eastAsia="en-US"/>
        </w:rPr>
      </w:pPr>
    </w:p>
    <w:p w14:paraId="4ACAC0DE" w14:textId="77777777" w:rsidR="00A31DD1" w:rsidRPr="006E0AFE" w:rsidRDefault="00210339" w:rsidP="00A31DD1">
      <w:pPr>
        <w:jc w:val="both"/>
        <w:rPr>
          <w:lang w:eastAsia="en-US"/>
        </w:rPr>
      </w:pPr>
      <w:r w:rsidRPr="006E0AFE">
        <w:rPr>
          <w:b/>
          <w:u w:val="single"/>
          <w:lang w:eastAsia="en-US"/>
        </w:rPr>
        <w:t>1</w:t>
      </w:r>
      <w:r w:rsidR="00DF228A" w:rsidRPr="006E0AFE">
        <w:rPr>
          <w:b/>
          <w:u w:val="single"/>
          <w:lang w:eastAsia="en-US"/>
        </w:rPr>
        <w:t>.</w:t>
      </w:r>
      <w:r w:rsidR="00AE4422" w:rsidRPr="006E0AFE">
        <w:rPr>
          <w:b/>
          <w:u w:val="single"/>
          <w:lang w:eastAsia="en-US"/>
        </w:rPr>
        <w:t>F.</w:t>
      </w:r>
      <w:r w:rsidRPr="006E0AFE">
        <w:rPr>
          <w:b/>
          <w:u w:val="single"/>
          <w:lang w:eastAsia="en-US"/>
        </w:rPr>
        <w:t xml:space="preserve"> Prihodi od kazni, upravnih mjera i ostalih prihoda</w:t>
      </w:r>
      <w:r w:rsidRPr="006E0AFE">
        <w:rPr>
          <w:lang w:eastAsia="en-US"/>
        </w:rPr>
        <w:t xml:space="preserve"> obuhvaćaju uglavnom prihode koje se ostvare naplatom kazni te upravnih mjera radi povrede odredbi zakona ili gradskih odluka koje provodi komunalno redarstvo Općine.</w:t>
      </w:r>
      <w:r w:rsidRPr="006E0AFE">
        <w:rPr>
          <w:b/>
          <w:lang w:eastAsia="en-US"/>
        </w:rPr>
        <w:t xml:space="preserve"> </w:t>
      </w:r>
      <w:r w:rsidR="00A31DD1" w:rsidRPr="006E0AFE">
        <w:rPr>
          <w:u w:val="single"/>
          <w:lang w:eastAsia="en-US"/>
        </w:rPr>
        <w:t>Kazn</w:t>
      </w:r>
      <w:r w:rsidRPr="006E0AFE">
        <w:rPr>
          <w:u w:val="single"/>
          <w:lang w:eastAsia="en-US"/>
        </w:rPr>
        <w:t>e</w:t>
      </w:r>
      <w:r w:rsidR="00A31DD1" w:rsidRPr="006E0AFE">
        <w:rPr>
          <w:u w:val="single"/>
          <w:lang w:eastAsia="en-US"/>
        </w:rPr>
        <w:t xml:space="preserve"> i upravn</w:t>
      </w:r>
      <w:r w:rsidRPr="006E0AFE">
        <w:rPr>
          <w:u w:val="single"/>
          <w:lang w:eastAsia="en-US"/>
        </w:rPr>
        <w:t>e</w:t>
      </w:r>
      <w:r w:rsidR="00A31DD1" w:rsidRPr="006E0AFE">
        <w:rPr>
          <w:u w:val="single"/>
          <w:lang w:eastAsia="en-US"/>
        </w:rPr>
        <w:t xml:space="preserve"> mjer</w:t>
      </w:r>
      <w:r w:rsidRPr="006E0AFE">
        <w:rPr>
          <w:u w:val="single"/>
          <w:lang w:eastAsia="en-US"/>
        </w:rPr>
        <w:t>e</w:t>
      </w:r>
      <w:r w:rsidR="00A31DD1" w:rsidRPr="006E0AFE">
        <w:rPr>
          <w:lang w:eastAsia="en-US"/>
        </w:rPr>
        <w:t xml:space="preserve"> se planiraju </w:t>
      </w:r>
      <w:r w:rsidR="00B16C87" w:rsidRPr="006E0AFE">
        <w:rPr>
          <w:lang w:eastAsia="en-US"/>
        </w:rPr>
        <w:t>viši u odnosu na</w:t>
      </w:r>
      <w:r w:rsidR="00A31DD1" w:rsidRPr="006E0AFE">
        <w:rPr>
          <w:lang w:eastAsia="en-US"/>
        </w:rPr>
        <w:t xml:space="preserve"> </w:t>
      </w:r>
      <w:r w:rsidR="00055F66" w:rsidRPr="006E0AFE">
        <w:rPr>
          <w:lang w:eastAsia="en-US"/>
        </w:rPr>
        <w:t>2020</w:t>
      </w:r>
      <w:r w:rsidR="00A31DD1" w:rsidRPr="006E0AFE">
        <w:rPr>
          <w:lang w:eastAsia="en-US"/>
        </w:rPr>
        <w:t xml:space="preserve">. </w:t>
      </w:r>
      <w:r w:rsidR="00D57BF2" w:rsidRPr="006E0AFE">
        <w:rPr>
          <w:lang w:eastAsia="en-US"/>
        </w:rPr>
        <w:t xml:space="preserve">godinu </w:t>
      </w:r>
      <w:r w:rsidR="00B57014" w:rsidRPr="006E0AFE">
        <w:rPr>
          <w:lang w:eastAsia="en-US"/>
        </w:rPr>
        <w:t>s obzirom da se planira tijekom godine početak obavljanja poslova prometnog redara pa s time u vezi naplate kazni dok se ostali prihodi planiraju na razini 2020.</w:t>
      </w:r>
      <w:r w:rsidR="00D57BF2" w:rsidRPr="006E0AFE">
        <w:rPr>
          <w:lang w:eastAsia="en-US"/>
        </w:rPr>
        <w:t xml:space="preserve"> </w:t>
      </w:r>
      <w:r w:rsidR="00B57014" w:rsidRPr="006E0AFE">
        <w:rPr>
          <w:lang w:eastAsia="en-US"/>
        </w:rPr>
        <w:t xml:space="preserve">godine. </w:t>
      </w:r>
    </w:p>
    <w:p w14:paraId="5F55D7BE" w14:textId="77777777" w:rsidR="00621203" w:rsidRPr="006E0AFE" w:rsidRDefault="00621203" w:rsidP="00621203">
      <w:pPr>
        <w:jc w:val="both"/>
        <w:rPr>
          <w:rFonts w:eastAsia="Calibri"/>
          <w:bCs/>
        </w:rPr>
      </w:pPr>
      <w:r w:rsidRPr="006E0AFE">
        <w:rPr>
          <w:lang w:eastAsia="en-US"/>
        </w:rPr>
        <w:t xml:space="preserve">U </w:t>
      </w:r>
      <w:r w:rsidRPr="006E0AFE">
        <w:rPr>
          <w:b/>
          <w:lang w:eastAsia="en-US"/>
        </w:rPr>
        <w:t>projekciji za 2022. i 2023. godinu</w:t>
      </w:r>
      <w:r w:rsidRPr="006E0AFE">
        <w:rPr>
          <w:lang w:eastAsia="en-US"/>
        </w:rPr>
        <w:t xml:space="preserve"> planira se postupno povećanje prihoda od </w:t>
      </w:r>
      <w:r w:rsidR="00B57014" w:rsidRPr="006E0AFE">
        <w:rPr>
          <w:lang w:eastAsia="en-US"/>
        </w:rPr>
        <w:t>kazni s obzirom da bi se poslovi prometnog redara trebali obavljati tijekom čitave godine</w:t>
      </w:r>
      <w:r w:rsidR="005C1684" w:rsidRPr="006E0AFE">
        <w:rPr>
          <w:lang w:eastAsia="en-US"/>
        </w:rPr>
        <w:t xml:space="preserve"> te bi se prihodi ostvarivali od prekršaja iz nadležnosti komunalnih redara i prometnih redara. Za 2023.godinu n</w:t>
      </w:r>
      <w:r w:rsidR="00D57BF2" w:rsidRPr="006E0AFE">
        <w:rPr>
          <w:lang w:eastAsia="en-US"/>
        </w:rPr>
        <w:t>e</w:t>
      </w:r>
      <w:r w:rsidR="005C1684" w:rsidRPr="006E0AFE">
        <w:rPr>
          <w:lang w:eastAsia="en-US"/>
        </w:rPr>
        <w:t xml:space="preserve"> planira se povećanje u odnosu na </w:t>
      </w:r>
      <w:r w:rsidR="005C1684" w:rsidRPr="006E0AFE">
        <w:rPr>
          <w:lang w:eastAsia="en-US"/>
        </w:rPr>
        <w:lastRenderedPageBreak/>
        <w:t>2022.</w:t>
      </w:r>
      <w:r w:rsidR="00D57BF2" w:rsidRPr="006E0AFE">
        <w:rPr>
          <w:lang w:eastAsia="en-US"/>
        </w:rPr>
        <w:t xml:space="preserve"> </w:t>
      </w:r>
      <w:r w:rsidR="005C1684" w:rsidRPr="006E0AFE">
        <w:rPr>
          <w:lang w:eastAsia="en-US"/>
        </w:rPr>
        <w:t>godinu s obzirom da je cilj prekršaja prvenstveno da se spriječi i prevenira počinjenje prekršaja. Pored toga naplata prekršajnih sankcije po prekršajnim nalozima na koje su uložene žalbe praktičke je u nadležnosti prekršajnih sudova, pa stoga od utvrđivanja prekršaja do naplate može proći određeno duže razdoblje.</w:t>
      </w:r>
    </w:p>
    <w:p w14:paraId="41044BDC" w14:textId="77777777" w:rsidR="007071A1" w:rsidRPr="006E0AFE" w:rsidRDefault="007071A1" w:rsidP="00A31DD1">
      <w:pPr>
        <w:jc w:val="both"/>
        <w:rPr>
          <w:b/>
          <w:highlight w:val="yellow"/>
          <w:lang w:eastAsia="en-US"/>
        </w:rPr>
      </w:pPr>
    </w:p>
    <w:p w14:paraId="5CDF09DE" w14:textId="77777777" w:rsidR="00845F5B" w:rsidRPr="006E0AFE" w:rsidRDefault="00845F5B" w:rsidP="00845F5B">
      <w:pPr>
        <w:ind w:left="720"/>
        <w:jc w:val="both"/>
        <w:rPr>
          <w:rFonts w:eastAsia="Calibri"/>
          <w:b/>
        </w:rPr>
      </w:pPr>
      <w:r w:rsidRPr="006E0AFE">
        <w:rPr>
          <w:rFonts w:eastAsia="Calibri"/>
          <w:b/>
        </w:rPr>
        <w:t>Prihodi proračunskih korisnika</w:t>
      </w:r>
    </w:p>
    <w:p w14:paraId="738A6668" w14:textId="77777777" w:rsidR="00536FDC" w:rsidRPr="006E0AFE" w:rsidRDefault="00536FDC" w:rsidP="00845F5B">
      <w:pPr>
        <w:ind w:left="720"/>
        <w:jc w:val="both"/>
        <w:rPr>
          <w:rFonts w:eastAsia="Calibri"/>
          <w:b/>
        </w:rPr>
      </w:pPr>
    </w:p>
    <w:p w14:paraId="1F879F0A" w14:textId="77777777" w:rsidR="00845F5B" w:rsidRPr="006E0AFE" w:rsidRDefault="00E46340" w:rsidP="00EF4E77">
      <w:pPr>
        <w:jc w:val="both"/>
        <w:rPr>
          <w:rFonts w:eastAsia="Calibri"/>
        </w:rPr>
      </w:pPr>
      <w:r w:rsidRPr="006E0AFE">
        <w:rPr>
          <w:rFonts w:eastAsia="Calibri"/>
        </w:rPr>
        <w:t>R</w:t>
      </w:r>
      <w:r w:rsidR="00845F5B" w:rsidRPr="006E0AFE">
        <w:rPr>
          <w:rFonts w:eastAsia="Calibri"/>
        </w:rPr>
        <w:t>ashod</w:t>
      </w:r>
      <w:r w:rsidRPr="006E0AFE">
        <w:rPr>
          <w:rFonts w:eastAsia="Calibri"/>
        </w:rPr>
        <w:t>i</w:t>
      </w:r>
      <w:r w:rsidR="00845F5B" w:rsidRPr="006E0AFE">
        <w:rPr>
          <w:rFonts w:eastAsia="Calibri"/>
        </w:rPr>
        <w:t xml:space="preserve"> za provedbu programa, aktivnosti i projekata</w:t>
      </w:r>
      <w:r w:rsidR="00800A92" w:rsidRPr="006E0AFE">
        <w:rPr>
          <w:rFonts w:eastAsia="Calibri"/>
        </w:rPr>
        <w:t xml:space="preserve"> </w:t>
      </w:r>
      <w:r w:rsidR="00845F5B" w:rsidRPr="006E0AFE">
        <w:rPr>
          <w:rFonts w:eastAsia="Calibri"/>
        </w:rPr>
        <w:t>proračunskih korisnika financira</w:t>
      </w:r>
      <w:r w:rsidRPr="006E0AFE">
        <w:rPr>
          <w:rFonts w:eastAsia="Calibri"/>
        </w:rPr>
        <w:t xml:space="preserve">ju se, pored </w:t>
      </w:r>
      <w:r w:rsidR="00800A92" w:rsidRPr="006E0AFE">
        <w:rPr>
          <w:rFonts w:eastAsia="Calibri"/>
        </w:rPr>
        <w:t>proračunskih sredstava, i</w:t>
      </w:r>
      <w:r w:rsidRPr="006E0AFE">
        <w:rPr>
          <w:rFonts w:eastAsia="Calibri"/>
        </w:rPr>
        <w:t xml:space="preserve"> </w:t>
      </w:r>
      <w:r w:rsidR="00845F5B" w:rsidRPr="006E0AFE">
        <w:rPr>
          <w:rFonts w:eastAsia="Calibri"/>
        </w:rPr>
        <w:t xml:space="preserve"> iz njihovih vlastitih</w:t>
      </w:r>
      <w:r w:rsidR="00800A92" w:rsidRPr="006E0AFE">
        <w:rPr>
          <w:rFonts w:eastAsia="Calibri"/>
        </w:rPr>
        <w:t xml:space="preserve"> i namjenskih</w:t>
      </w:r>
      <w:r w:rsidR="00845F5B" w:rsidRPr="006E0AFE">
        <w:rPr>
          <w:rFonts w:eastAsia="Calibri"/>
        </w:rPr>
        <w:t xml:space="preserve"> prihoda</w:t>
      </w:r>
      <w:r w:rsidR="00800A92" w:rsidRPr="006E0AFE">
        <w:rPr>
          <w:rFonts w:eastAsia="Calibri"/>
        </w:rPr>
        <w:t>. Kod</w:t>
      </w:r>
      <w:r w:rsidR="007F19FA" w:rsidRPr="006E0AFE">
        <w:rPr>
          <w:rFonts w:eastAsia="Calibri"/>
        </w:rPr>
        <w:t xml:space="preserve"> Dječjeg vrtića</w:t>
      </w:r>
      <w:r w:rsidR="006274FD" w:rsidRPr="006E0AFE">
        <w:rPr>
          <w:rFonts w:eastAsia="Calibri"/>
        </w:rPr>
        <w:t xml:space="preserve"> Matulji</w:t>
      </w:r>
      <w:r w:rsidR="00800A92" w:rsidRPr="006E0AFE">
        <w:rPr>
          <w:rFonts w:eastAsia="Calibri"/>
        </w:rPr>
        <w:t xml:space="preserve"> oni</w:t>
      </w:r>
      <w:r w:rsidR="006274FD" w:rsidRPr="006E0AFE">
        <w:rPr>
          <w:rFonts w:eastAsia="Calibri"/>
        </w:rPr>
        <w:t xml:space="preserve"> </w:t>
      </w:r>
      <w:r w:rsidR="00845F5B" w:rsidRPr="006E0AFE">
        <w:rPr>
          <w:rFonts w:eastAsia="Calibri"/>
        </w:rPr>
        <w:t>obuhvaćaju prihode od pruženih usluga, sufinanciranje cijene</w:t>
      </w:r>
      <w:r w:rsidR="00800A92" w:rsidRPr="006E0AFE">
        <w:rPr>
          <w:rFonts w:eastAsia="Calibri"/>
        </w:rPr>
        <w:t xml:space="preserve"> usluge</w:t>
      </w:r>
      <w:r w:rsidR="00845F5B" w:rsidRPr="006E0AFE">
        <w:rPr>
          <w:rFonts w:eastAsia="Calibri"/>
        </w:rPr>
        <w:t xml:space="preserve">, donacije, pomoći </w:t>
      </w:r>
      <w:r w:rsidR="006274FD" w:rsidRPr="006E0AFE">
        <w:rPr>
          <w:rFonts w:eastAsia="Calibri"/>
        </w:rPr>
        <w:t>odnosno kod mjesnih odbora prihode od</w:t>
      </w:r>
      <w:r w:rsidR="00845F5B" w:rsidRPr="006E0AFE">
        <w:rPr>
          <w:rFonts w:eastAsia="Calibri"/>
        </w:rPr>
        <w:t xml:space="preserve"> zakupa imovine</w:t>
      </w:r>
      <w:r w:rsidR="006274FD" w:rsidRPr="006E0AFE">
        <w:rPr>
          <w:rFonts w:eastAsia="Calibri"/>
        </w:rPr>
        <w:t xml:space="preserve"> (JUS)</w:t>
      </w:r>
      <w:r w:rsidR="00845F5B" w:rsidRPr="006E0AFE">
        <w:rPr>
          <w:rFonts w:eastAsia="Calibri"/>
        </w:rPr>
        <w:t>.</w:t>
      </w:r>
      <w:r w:rsidR="006274FD" w:rsidRPr="006E0AFE">
        <w:rPr>
          <w:rFonts w:eastAsia="Calibri"/>
        </w:rPr>
        <w:t xml:space="preserve"> U </w:t>
      </w:r>
      <w:r w:rsidR="00055F66" w:rsidRPr="006E0AFE">
        <w:rPr>
          <w:rFonts w:eastAsia="Calibri"/>
        </w:rPr>
        <w:t>2021</w:t>
      </w:r>
      <w:r w:rsidR="006274FD" w:rsidRPr="006E0AFE">
        <w:rPr>
          <w:rFonts w:eastAsia="Calibri"/>
        </w:rPr>
        <w:t>.</w:t>
      </w:r>
      <w:r w:rsidR="007F19FA" w:rsidRPr="006E0AFE">
        <w:rPr>
          <w:rFonts w:eastAsia="Calibri"/>
        </w:rPr>
        <w:t xml:space="preserve"> </w:t>
      </w:r>
      <w:r w:rsidR="006274FD" w:rsidRPr="006E0AFE">
        <w:rPr>
          <w:rFonts w:eastAsia="Calibri"/>
        </w:rPr>
        <w:t>godini kod proračunskih korisnika</w:t>
      </w:r>
      <w:r w:rsidR="005036DC" w:rsidRPr="006E0AFE">
        <w:rPr>
          <w:rFonts w:eastAsia="Calibri"/>
        </w:rPr>
        <w:t xml:space="preserve"> planirani su vlastiti i namjenski prihodi kako slijedi:</w:t>
      </w:r>
    </w:p>
    <w:p w14:paraId="30ED14D5" w14:textId="77777777" w:rsidR="00A3469B" w:rsidRPr="006E0AFE" w:rsidRDefault="00A3469B" w:rsidP="00EF4E77">
      <w:pPr>
        <w:jc w:val="both"/>
        <w:rPr>
          <w:rFonts w:eastAsia="Calibri"/>
          <w:highlight w:val="yellow"/>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358"/>
        <w:gridCol w:w="1199"/>
        <w:gridCol w:w="954"/>
        <w:gridCol w:w="1010"/>
        <w:gridCol w:w="954"/>
        <w:gridCol w:w="1357"/>
      </w:tblGrid>
      <w:tr w:rsidR="00621203" w:rsidRPr="006E0AFE" w14:paraId="044D4450" w14:textId="77777777" w:rsidTr="003C150F">
        <w:trPr>
          <w:trHeight w:val="323"/>
          <w:jc w:val="center"/>
        </w:trPr>
        <w:tc>
          <w:tcPr>
            <w:tcW w:w="3385" w:type="dxa"/>
            <w:vMerge w:val="restart"/>
            <w:shd w:val="clear" w:color="000000" w:fill="D9D9D9"/>
            <w:noWrap/>
            <w:vAlign w:val="center"/>
            <w:hideMark/>
          </w:tcPr>
          <w:p w14:paraId="1244ECD3" w14:textId="77777777" w:rsidR="00A3469B" w:rsidRPr="006E0AFE" w:rsidRDefault="00A3469B">
            <w:pPr>
              <w:jc w:val="center"/>
              <w:rPr>
                <w:b/>
                <w:sz w:val="20"/>
                <w:szCs w:val="20"/>
              </w:rPr>
            </w:pPr>
            <w:r w:rsidRPr="006E0AFE">
              <w:rPr>
                <w:b/>
                <w:sz w:val="20"/>
                <w:szCs w:val="20"/>
              </w:rPr>
              <w:t>Vrsta prihoda</w:t>
            </w:r>
          </w:p>
        </w:tc>
        <w:tc>
          <w:tcPr>
            <w:tcW w:w="1366" w:type="dxa"/>
            <w:vMerge w:val="restart"/>
            <w:shd w:val="clear" w:color="000000" w:fill="D9D9D9"/>
            <w:noWrap/>
            <w:vAlign w:val="center"/>
            <w:hideMark/>
          </w:tcPr>
          <w:p w14:paraId="793E0C07" w14:textId="77777777" w:rsidR="00A3469B" w:rsidRPr="006E0AFE" w:rsidRDefault="00A3469B" w:rsidP="00800A92">
            <w:pPr>
              <w:jc w:val="center"/>
              <w:rPr>
                <w:b/>
                <w:color w:val="000000"/>
                <w:sz w:val="20"/>
                <w:szCs w:val="20"/>
              </w:rPr>
            </w:pPr>
            <w:r w:rsidRPr="006E0AFE">
              <w:rPr>
                <w:b/>
                <w:color w:val="000000"/>
                <w:sz w:val="20"/>
                <w:szCs w:val="20"/>
              </w:rPr>
              <w:t>D</w:t>
            </w:r>
            <w:r w:rsidR="00800A92" w:rsidRPr="006E0AFE">
              <w:rPr>
                <w:b/>
                <w:color w:val="000000"/>
                <w:sz w:val="20"/>
                <w:szCs w:val="20"/>
              </w:rPr>
              <w:t>ječji vrtić</w:t>
            </w:r>
            <w:r w:rsidRPr="006E0AFE">
              <w:rPr>
                <w:b/>
                <w:color w:val="000000"/>
                <w:sz w:val="20"/>
                <w:szCs w:val="20"/>
              </w:rPr>
              <w:t xml:space="preserve"> Matulji</w:t>
            </w:r>
          </w:p>
        </w:tc>
        <w:tc>
          <w:tcPr>
            <w:tcW w:w="4142" w:type="dxa"/>
            <w:gridSpan w:val="4"/>
            <w:tcBorders>
              <w:bottom w:val="single" w:sz="4" w:space="0" w:color="auto"/>
            </w:tcBorders>
            <w:shd w:val="clear" w:color="000000" w:fill="D9D9D9"/>
            <w:noWrap/>
            <w:vAlign w:val="center"/>
            <w:hideMark/>
          </w:tcPr>
          <w:p w14:paraId="5C605D48" w14:textId="77777777" w:rsidR="00A3469B" w:rsidRPr="006E0AFE" w:rsidRDefault="00A3469B">
            <w:pPr>
              <w:jc w:val="center"/>
              <w:rPr>
                <w:b/>
                <w:color w:val="000000"/>
                <w:sz w:val="20"/>
                <w:szCs w:val="20"/>
              </w:rPr>
            </w:pPr>
            <w:r w:rsidRPr="006E0AFE">
              <w:rPr>
                <w:b/>
                <w:color w:val="000000"/>
                <w:sz w:val="20"/>
                <w:szCs w:val="20"/>
              </w:rPr>
              <w:t>MJESNI ODBORI</w:t>
            </w:r>
          </w:p>
        </w:tc>
        <w:tc>
          <w:tcPr>
            <w:tcW w:w="1058" w:type="dxa"/>
            <w:vMerge w:val="restart"/>
            <w:shd w:val="clear" w:color="000000" w:fill="D9D9D9"/>
            <w:noWrap/>
            <w:vAlign w:val="center"/>
            <w:hideMark/>
          </w:tcPr>
          <w:p w14:paraId="77E76CFE" w14:textId="77777777" w:rsidR="00A3469B" w:rsidRPr="006E0AFE" w:rsidRDefault="00A3469B">
            <w:pPr>
              <w:jc w:val="center"/>
              <w:rPr>
                <w:b/>
                <w:color w:val="000000"/>
                <w:sz w:val="20"/>
                <w:szCs w:val="20"/>
              </w:rPr>
            </w:pPr>
            <w:r w:rsidRPr="006E0AFE">
              <w:rPr>
                <w:b/>
                <w:color w:val="000000"/>
                <w:sz w:val="20"/>
                <w:szCs w:val="20"/>
              </w:rPr>
              <w:t>UKUPNO</w:t>
            </w:r>
          </w:p>
        </w:tc>
      </w:tr>
      <w:tr w:rsidR="00621203" w:rsidRPr="006E0AFE" w14:paraId="6E2A4F09" w14:textId="77777777" w:rsidTr="00800A92">
        <w:trPr>
          <w:trHeight w:val="315"/>
          <w:jc w:val="center"/>
        </w:trPr>
        <w:tc>
          <w:tcPr>
            <w:tcW w:w="3385" w:type="dxa"/>
            <w:vMerge/>
            <w:vAlign w:val="center"/>
            <w:hideMark/>
          </w:tcPr>
          <w:p w14:paraId="2342643E" w14:textId="77777777" w:rsidR="00A3469B" w:rsidRPr="006E0AFE" w:rsidRDefault="00A3469B">
            <w:pPr>
              <w:rPr>
                <w:sz w:val="20"/>
                <w:szCs w:val="20"/>
              </w:rPr>
            </w:pPr>
          </w:p>
        </w:tc>
        <w:tc>
          <w:tcPr>
            <w:tcW w:w="1366" w:type="dxa"/>
            <w:vMerge/>
            <w:vAlign w:val="center"/>
            <w:hideMark/>
          </w:tcPr>
          <w:p w14:paraId="450C5452" w14:textId="77777777" w:rsidR="00A3469B" w:rsidRPr="006E0AFE" w:rsidRDefault="00A3469B">
            <w:pPr>
              <w:rPr>
                <w:color w:val="000000"/>
                <w:sz w:val="20"/>
                <w:szCs w:val="20"/>
              </w:rPr>
            </w:pPr>
          </w:p>
        </w:tc>
        <w:tc>
          <w:tcPr>
            <w:tcW w:w="1206" w:type="dxa"/>
            <w:shd w:val="clear" w:color="000000" w:fill="auto"/>
            <w:noWrap/>
            <w:vAlign w:val="center"/>
            <w:hideMark/>
          </w:tcPr>
          <w:p w14:paraId="050BB7AB" w14:textId="77777777" w:rsidR="00A3469B" w:rsidRPr="006E0AFE" w:rsidRDefault="00A3469B">
            <w:pPr>
              <w:jc w:val="center"/>
              <w:rPr>
                <w:color w:val="000000"/>
                <w:sz w:val="20"/>
                <w:szCs w:val="20"/>
              </w:rPr>
            </w:pPr>
            <w:r w:rsidRPr="006E0AFE">
              <w:rPr>
                <w:color w:val="000000"/>
                <w:sz w:val="20"/>
                <w:szCs w:val="20"/>
              </w:rPr>
              <w:t>Pasjak</w:t>
            </w:r>
          </w:p>
        </w:tc>
        <w:tc>
          <w:tcPr>
            <w:tcW w:w="960" w:type="dxa"/>
            <w:shd w:val="clear" w:color="000000" w:fill="auto"/>
            <w:noWrap/>
            <w:vAlign w:val="center"/>
            <w:hideMark/>
          </w:tcPr>
          <w:p w14:paraId="2D91C17C" w14:textId="77777777" w:rsidR="00A3469B" w:rsidRPr="006E0AFE" w:rsidRDefault="00A3469B">
            <w:pPr>
              <w:jc w:val="center"/>
              <w:rPr>
                <w:color w:val="000000"/>
                <w:sz w:val="20"/>
                <w:szCs w:val="20"/>
              </w:rPr>
            </w:pPr>
            <w:proofErr w:type="spellStart"/>
            <w:r w:rsidRPr="006E0AFE">
              <w:rPr>
                <w:color w:val="000000"/>
                <w:sz w:val="20"/>
                <w:szCs w:val="20"/>
              </w:rPr>
              <w:t>Šapjane</w:t>
            </w:r>
            <w:proofErr w:type="spellEnd"/>
          </w:p>
        </w:tc>
        <w:tc>
          <w:tcPr>
            <w:tcW w:w="1016" w:type="dxa"/>
            <w:shd w:val="clear" w:color="000000" w:fill="auto"/>
            <w:noWrap/>
            <w:vAlign w:val="center"/>
            <w:hideMark/>
          </w:tcPr>
          <w:p w14:paraId="4BB88BE3" w14:textId="77777777" w:rsidR="00A3469B" w:rsidRPr="006E0AFE" w:rsidRDefault="00A3469B">
            <w:pPr>
              <w:jc w:val="center"/>
              <w:rPr>
                <w:color w:val="000000"/>
                <w:sz w:val="20"/>
                <w:szCs w:val="20"/>
              </w:rPr>
            </w:pPr>
            <w:r w:rsidRPr="006E0AFE">
              <w:rPr>
                <w:color w:val="000000"/>
                <w:sz w:val="20"/>
                <w:szCs w:val="20"/>
              </w:rPr>
              <w:t>Mune</w:t>
            </w:r>
          </w:p>
        </w:tc>
        <w:tc>
          <w:tcPr>
            <w:tcW w:w="960" w:type="dxa"/>
            <w:shd w:val="clear" w:color="000000" w:fill="auto"/>
            <w:noWrap/>
            <w:vAlign w:val="center"/>
            <w:hideMark/>
          </w:tcPr>
          <w:p w14:paraId="01DB5524" w14:textId="77777777" w:rsidR="00A3469B" w:rsidRPr="006E0AFE" w:rsidRDefault="00A3469B">
            <w:pPr>
              <w:jc w:val="center"/>
              <w:rPr>
                <w:color w:val="000000"/>
                <w:sz w:val="20"/>
                <w:szCs w:val="20"/>
              </w:rPr>
            </w:pPr>
            <w:proofErr w:type="spellStart"/>
            <w:r w:rsidRPr="006E0AFE">
              <w:rPr>
                <w:color w:val="000000"/>
                <w:sz w:val="20"/>
                <w:szCs w:val="20"/>
              </w:rPr>
              <w:t>Žejane</w:t>
            </w:r>
            <w:proofErr w:type="spellEnd"/>
          </w:p>
        </w:tc>
        <w:tc>
          <w:tcPr>
            <w:tcW w:w="1058" w:type="dxa"/>
            <w:vMerge/>
            <w:vAlign w:val="center"/>
            <w:hideMark/>
          </w:tcPr>
          <w:p w14:paraId="565DF91A" w14:textId="77777777" w:rsidR="00A3469B" w:rsidRPr="006E0AFE" w:rsidRDefault="00A3469B">
            <w:pPr>
              <w:rPr>
                <w:color w:val="000000"/>
                <w:sz w:val="20"/>
                <w:szCs w:val="20"/>
              </w:rPr>
            </w:pPr>
          </w:p>
        </w:tc>
      </w:tr>
      <w:tr w:rsidR="00621203" w:rsidRPr="006E0AFE" w14:paraId="4A9693DC" w14:textId="77777777" w:rsidTr="00800A92">
        <w:trPr>
          <w:trHeight w:val="453"/>
          <w:jc w:val="center"/>
        </w:trPr>
        <w:tc>
          <w:tcPr>
            <w:tcW w:w="3385" w:type="dxa"/>
            <w:shd w:val="clear" w:color="000000" w:fill="FFFFFF"/>
            <w:vAlign w:val="center"/>
            <w:hideMark/>
          </w:tcPr>
          <w:p w14:paraId="6826EF06" w14:textId="77777777" w:rsidR="00A3469B" w:rsidRPr="006E0AFE" w:rsidRDefault="00800A92" w:rsidP="00800A92">
            <w:pPr>
              <w:rPr>
                <w:color w:val="000000"/>
                <w:sz w:val="20"/>
                <w:szCs w:val="20"/>
              </w:rPr>
            </w:pPr>
            <w:r w:rsidRPr="006E0AFE">
              <w:rPr>
                <w:color w:val="000000"/>
                <w:sz w:val="20"/>
                <w:szCs w:val="20"/>
              </w:rPr>
              <w:t>S</w:t>
            </w:r>
            <w:r w:rsidR="00A3469B" w:rsidRPr="006E0AFE">
              <w:rPr>
                <w:color w:val="000000"/>
                <w:sz w:val="20"/>
                <w:szCs w:val="20"/>
              </w:rPr>
              <w:t>ufina</w:t>
            </w:r>
            <w:r w:rsidR="00621203" w:rsidRPr="006E0AFE">
              <w:rPr>
                <w:color w:val="000000"/>
                <w:sz w:val="20"/>
                <w:szCs w:val="20"/>
              </w:rPr>
              <w:t>n</w:t>
            </w:r>
            <w:r w:rsidR="007F19FA" w:rsidRPr="006E0AFE">
              <w:rPr>
                <w:color w:val="000000"/>
                <w:sz w:val="20"/>
                <w:szCs w:val="20"/>
              </w:rPr>
              <w:t>ciranje cijene</w:t>
            </w:r>
            <w:r w:rsidRPr="006E0AFE">
              <w:rPr>
                <w:color w:val="000000"/>
                <w:sz w:val="20"/>
                <w:szCs w:val="20"/>
              </w:rPr>
              <w:t xml:space="preserve"> usluge</w:t>
            </w:r>
          </w:p>
        </w:tc>
        <w:tc>
          <w:tcPr>
            <w:tcW w:w="1366" w:type="dxa"/>
            <w:shd w:val="clear" w:color="000000" w:fill="FFFFFF"/>
            <w:noWrap/>
            <w:vAlign w:val="center"/>
            <w:hideMark/>
          </w:tcPr>
          <w:p w14:paraId="38ACA29B" w14:textId="77777777" w:rsidR="00A3469B" w:rsidRPr="006E0AFE" w:rsidRDefault="00A3469B">
            <w:pPr>
              <w:jc w:val="right"/>
              <w:rPr>
                <w:color w:val="000000"/>
                <w:sz w:val="20"/>
                <w:szCs w:val="20"/>
              </w:rPr>
            </w:pPr>
            <w:r w:rsidRPr="006E0AFE">
              <w:rPr>
                <w:color w:val="000000"/>
                <w:sz w:val="20"/>
                <w:szCs w:val="20"/>
              </w:rPr>
              <w:t>3.474.230,00</w:t>
            </w:r>
          </w:p>
        </w:tc>
        <w:tc>
          <w:tcPr>
            <w:tcW w:w="1206" w:type="dxa"/>
            <w:shd w:val="clear" w:color="000000" w:fill="FFFFFF"/>
            <w:noWrap/>
            <w:vAlign w:val="center"/>
            <w:hideMark/>
          </w:tcPr>
          <w:p w14:paraId="51E6DD96" w14:textId="77777777" w:rsidR="00A3469B" w:rsidRPr="006E0AFE" w:rsidRDefault="00A3469B">
            <w:pPr>
              <w:jc w:val="right"/>
              <w:rPr>
                <w:color w:val="000000"/>
                <w:sz w:val="20"/>
                <w:szCs w:val="20"/>
              </w:rPr>
            </w:pPr>
            <w:r w:rsidRPr="006E0AFE">
              <w:rPr>
                <w:color w:val="000000"/>
                <w:sz w:val="20"/>
                <w:szCs w:val="20"/>
              </w:rPr>
              <w:t> </w:t>
            </w:r>
          </w:p>
        </w:tc>
        <w:tc>
          <w:tcPr>
            <w:tcW w:w="960" w:type="dxa"/>
            <w:shd w:val="clear" w:color="000000" w:fill="FFFFFF"/>
            <w:noWrap/>
            <w:vAlign w:val="center"/>
            <w:hideMark/>
          </w:tcPr>
          <w:p w14:paraId="20CFB60F" w14:textId="77777777" w:rsidR="00A3469B" w:rsidRPr="006E0AFE" w:rsidRDefault="00A3469B">
            <w:pPr>
              <w:jc w:val="right"/>
              <w:rPr>
                <w:b/>
                <w:bCs/>
                <w:color w:val="000000"/>
                <w:sz w:val="20"/>
                <w:szCs w:val="20"/>
              </w:rPr>
            </w:pPr>
            <w:r w:rsidRPr="006E0AFE">
              <w:rPr>
                <w:b/>
                <w:bCs/>
                <w:color w:val="000000"/>
                <w:sz w:val="20"/>
                <w:szCs w:val="20"/>
              </w:rPr>
              <w:t> </w:t>
            </w:r>
          </w:p>
        </w:tc>
        <w:tc>
          <w:tcPr>
            <w:tcW w:w="1016" w:type="dxa"/>
            <w:shd w:val="clear" w:color="auto" w:fill="auto"/>
            <w:vAlign w:val="center"/>
            <w:hideMark/>
          </w:tcPr>
          <w:p w14:paraId="5B882CDF" w14:textId="77777777" w:rsidR="00A3469B" w:rsidRPr="006E0AFE" w:rsidRDefault="00A3469B">
            <w:pPr>
              <w:rPr>
                <w:sz w:val="20"/>
                <w:szCs w:val="20"/>
              </w:rPr>
            </w:pPr>
            <w:r w:rsidRPr="006E0AFE">
              <w:rPr>
                <w:sz w:val="20"/>
                <w:szCs w:val="20"/>
              </w:rPr>
              <w:t> </w:t>
            </w:r>
          </w:p>
        </w:tc>
        <w:tc>
          <w:tcPr>
            <w:tcW w:w="960" w:type="dxa"/>
            <w:shd w:val="clear" w:color="auto" w:fill="auto"/>
            <w:noWrap/>
            <w:vAlign w:val="bottom"/>
            <w:hideMark/>
          </w:tcPr>
          <w:p w14:paraId="122E5589" w14:textId="77777777" w:rsidR="00A3469B" w:rsidRPr="006E0AFE" w:rsidRDefault="00A3469B">
            <w:pPr>
              <w:rPr>
                <w:color w:val="000000"/>
                <w:sz w:val="20"/>
                <w:szCs w:val="20"/>
              </w:rPr>
            </w:pPr>
            <w:r w:rsidRPr="006E0AFE">
              <w:rPr>
                <w:color w:val="000000"/>
                <w:sz w:val="20"/>
                <w:szCs w:val="20"/>
              </w:rPr>
              <w:t> </w:t>
            </w:r>
          </w:p>
        </w:tc>
        <w:tc>
          <w:tcPr>
            <w:tcW w:w="1058" w:type="dxa"/>
            <w:shd w:val="clear" w:color="000000" w:fill="FFFFFF"/>
            <w:noWrap/>
            <w:vAlign w:val="center"/>
            <w:hideMark/>
          </w:tcPr>
          <w:p w14:paraId="1694192D" w14:textId="77777777" w:rsidR="00A3469B" w:rsidRPr="006E0AFE" w:rsidRDefault="00A3469B">
            <w:pPr>
              <w:jc w:val="right"/>
              <w:rPr>
                <w:color w:val="000000"/>
                <w:sz w:val="20"/>
                <w:szCs w:val="20"/>
              </w:rPr>
            </w:pPr>
            <w:r w:rsidRPr="006E0AFE">
              <w:rPr>
                <w:color w:val="000000"/>
                <w:sz w:val="20"/>
                <w:szCs w:val="20"/>
              </w:rPr>
              <w:t>3.474.230,00</w:t>
            </w:r>
          </w:p>
        </w:tc>
      </w:tr>
      <w:tr w:rsidR="00621203" w:rsidRPr="006E0AFE" w14:paraId="53F6C7F2" w14:textId="77777777" w:rsidTr="00800A92">
        <w:trPr>
          <w:trHeight w:val="557"/>
          <w:jc w:val="center"/>
        </w:trPr>
        <w:tc>
          <w:tcPr>
            <w:tcW w:w="3385" w:type="dxa"/>
            <w:shd w:val="clear" w:color="000000" w:fill="FFFFFF"/>
            <w:vAlign w:val="center"/>
            <w:hideMark/>
          </w:tcPr>
          <w:p w14:paraId="0DB347D3" w14:textId="77777777" w:rsidR="00A3469B" w:rsidRPr="006E0AFE" w:rsidRDefault="00800A92">
            <w:pPr>
              <w:rPr>
                <w:color w:val="000000"/>
                <w:sz w:val="20"/>
                <w:szCs w:val="20"/>
              </w:rPr>
            </w:pPr>
            <w:r w:rsidRPr="006E0AFE">
              <w:rPr>
                <w:color w:val="000000"/>
                <w:sz w:val="20"/>
                <w:szCs w:val="20"/>
              </w:rPr>
              <w:t>P</w:t>
            </w:r>
            <w:r w:rsidR="00A3469B" w:rsidRPr="006E0AFE">
              <w:rPr>
                <w:color w:val="000000"/>
                <w:sz w:val="20"/>
                <w:szCs w:val="20"/>
              </w:rPr>
              <w:t>rihodi od pomoći (prihodi iz drugih nenadležnih proračuna)</w:t>
            </w:r>
          </w:p>
        </w:tc>
        <w:tc>
          <w:tcPr>
            <w:tcW w:w="1366" w:type="dxa"/>
            <w:shd w:val="clear" w:color="000000" w:fill="FFFFFF"/>
            <w:noWrap/>
            <w:vAlign w:val="center"/>
            <w:hideMark/>
          </w:tcPr>
          <w:p w14:paraId="31D72885" w14:textId="77777777" w:rsidR="00A3469B" w:rsidRPr="006E0AFE" w:rsidRDefault="00A3469B">
            <w:pPr>
              <w:jc w:val="right"/>
              <w:rPr>
                <w:color w:val="000000"/>
                <w:sz w:val="20"/>
                <w:szCs w:val="20"/>
              </w:rPr>
            </w:pPr>
            <w:r w:rsidRPr="006E0AFE">
              <w:rPr>
                <w:color w:val="000000"/>
                <w:sz w:val="20"/>
                <w:szCs w:val="20"/>
              </w:rPr>
              <w:t>25.000,00</w:t>
            </w:r>
          </w:p>
        </w:tc>
        <w:tc>
          <w:tcPr>
            <w:tcW w:w="1206" w:type="dxa"/>
            <w:shd w:val="clear" w:color="000000" w:fill="FFFFFF"/>
            <w:vAlign w:val="center"/>
            <w:hideMark/>
          </w:tcPr>
          <w:p w14:paraId="263A3901" w14:textId="77777777" w:rsidR="00A3469B" w:rsidRPr="006E0AFE" w:rsidRDefault="00A3469B">
            <w:pPr>
              <w:jc w:val="right"/>
              <w:rPr>
                <w:color w:val="000000"/>
                <w:sz w:val="20"/>
                <w:szCs w:val="20"/>
              </w:rPr>
            </w:pPr>
            <w:r w:rsidRPr="006E0AFE">
              <w:rPr>
                <w:color w:val="000000"/>
                <w:sz w:val="20"/>
                <w:szCs w:val="20"/>
              </w:rPr>
              <w:t> </w:t>
            </w:r>
          </w:p>
        </w:tc>
        <w:tc>
          <w:tcPr>
            <w:tcW w:w="960" w:type="dxa"/>
            <w:shd w:val="clear" w:color="000000" w:fill="FFFFFF"/>
            <w:vAlign w:val="center"/>
            <w:hideMark/>
          </w:tcPr>
          <w:p w14:paraId="22A9A82B" w14:textId="77777777" w:rsidR="00A3469B" w:rsidRPr="006E0AFE" w:rsidRDefault="00A3469B">
            <w:pPr>
              <w:jc w:val="right"/>
              <w:rPr>
                <w:b/>
                <w:bCs/>
                <w:color w:val="000000"/>
                <w:sz w:val="20"/>
                <w:szCs w:val="20"/>
              </w:rPr>
            </w:pPr>
            <w:r w:rsidRPr="006E0AFE">
              <w:rPr>
                <w:b/>
                <w:bCs/>
                <w:color w:val="000000"/>
                <w:sz w:val="20"/>
                <w:szCs w:val="20"/>
              </w:rPr>
              <w:t> </w:t>
            </w:r>
          </w:p>
        </w:tc>
        <w:tc>
          <w:tcPr>
            <w:tcW w:w="1016" w:type="dxa"/>
            <w:shd w:val="clear" w:color="auto" w:fill="auto"/>
            <w:vAlign w:val="center"/>
            <w:hideMark/>
          </w:tcPr>
          <w:p w14:paraId="61A53410" w14:textId="77777777" w:rsidR="00A3469B" w:rsidRPr="006E0AFE" w:rsidRDefault="00A3469B">
            <w:pPr>
              <w:rPr>
                <w:sz w:val="20"/>
                <w:szCs w:val="20"/>
              </w:rPr>
            </w:pPr>
            <w:r w:rsidRPr="006E0AFE">
              <w:rPr>
                <w:sz w:val="20"/>
                <w:szCs w:val="20"/>
              </w:rPr>
              <w:t> </w:t>
            </w:r>
          </w:p>
        </w:tc>
        <w:tc>
          <w:tcPr>
            <w:tcW w:w="960" w:type="dxa"/>
            <w:shd w:val="clear" w:color="auto" w:fill="auto"/>
            <w:noWrap/>
            <w:vAlign w:val="bottom"/>
            <w:hideMark/>
          </w:tcPr>
          <w:p w14:paraId="19CB3DBB" w14:textId="77777777" w:rsidR="00A3469B" w:rsidRPr="006E0AFE" w:rsidRDefault="00A3469B">
            <w:pPr>
              <w:rPr>
                <w:color w:val="000000"/>
                <w:sz w:val="20"/>
                <w:szCs w:val="20"/>
              </w:rPr>
            </w:pPr>
            <w:r w:rsidRPr="006E0AFE">
              <w:rPr>
                <w:color w:val="000000"/>
                <w:sz w:val="20"/>
                <w:szCs w:val="20"/>
              </w:rPr>
              <w:t> </w:t>
            </w:r>
          </w:p>
        </w:tc>
        <w:tc>
          <w:tcPr>
            <w:tcW w:w="1058" w:type="dxa"/>
            <w:shd w:val="clear" w:color="000000" w:fill="FFFFFF"/>
            <w:noWrap/>
            <w:vAlign w:val="center"/>
            <w:hideMark/>
          </w:tcPr>
          <w:p w14:paraId="250BE256" w14:textId="77777777" w:rsidR="00A3469B" w:rsidRPr="006E0AFE" w:rsidRDefault="00A3469B">
            <w:pPr>
              <w:jc w:val="right"/>
              <w:rPr>
                <w:color w:val="000000"/>
                <w:sz w:val="20"/>
                <w:szCs w:val="20"/>
              </w:rPr>
            </w:pPr>
            <w:r w:rsidRPr="006E0AFE">
              <w:rPr>
                <w:color w:val="000000"/>
                <w:sz w:val="20"/>
                <w:szCs w:val="20"/>
              </w:rPr>
              <w:t>25.000,00</w:t>
            </w:r>
          </w:p>
        </w:tc>
      </w:tr>
      <w:tr w:rsidR="00621203" w:rsidRPr="006E0AFE" w14:paraId="1D0DBDAD" w14:textId="77777777" w:rsidTr="00800A92">
        <w:trPr>
          <w:trHeight w:val="315"/>
          <w:jc w:val="center"/>
        </w:trPr>
        <w:tc>
          <w:tcPr>
            <w:tcW w:w="3385" w:type="dxa"/>
            <w:shd w:val="clear" w:color="000000" w:fill="FFFFFF"/>
            <w:vAlign w:val="center"/>
            <w:hideMark/>
          </w:tcPr>
          <w:p w14:paraId="3D616C6D" w14:textId="77777777" w:rsidR="00A3469B" w:rsidRPr="006E0AFE" w:rsidRDefault="00800A92">
            <w:pPr>
              <w:rPr>
                <w:color w:val="000000"/>
                <w:sz w:val="20"/>
                <w:szCs w:val="20"/>
              </w:rPr>
            </w:pPr>
            <w:r w:rsidRPr="006E0AFE">
              <w:rPr>
                <w:color w:val="000000"/>
                <w:sz w:val="20"/>
                <w:szCs w:val="20"/>
              </w:rPr>
              <w:t>P</w:t>
            </w:r>
            <w:r w:rsidR="00A3469B" w:rsidRPr="006E0AFE">
              <w:rPr>
                <w:color w:val="000000"/>
                <w:sz w:val="20"/>
                <w:szCs w:val="20"/>
              </w:rPr>
              <w:t>omoći EU</w:t>
            </w:r>
          </w:p>
        </w:tc>
        <w:tc>
          <w:tcPr>
            <w:tcW w:w="1366" w:type="dxa"/>
            <w:shd w:val="clear" w:color="000000" w:fill="FFFFFF"/>
            <w:vAlign w:val="center"/>
            <w:hideMark/>
          </w:tcPr>
          <w:p w14:paraId="5D895F72" w14:textId="77777777" w:rsidR="00A3469B" w:rsidRPr="006E0AFE" w:rsidRDefault="00A3469B">
            <w:pPr>
              <w:jc w:val="right"/>
              <w:rPr>
                <w:color w:val="000000"/>
                <w:sz w:val="20"/>
                <w:szCs w:val="20"/>
              </w:rPr>
            </w:pPr>
            <w:r w:rsidRPr="006E0AFE">
              <w:rPr>
                <w:color w:val="000000"/>
                <w:sz w:val="20"/>
                <w:szCs w:val="20"/>
              </w:rPr>
              <w:t>251.400,00</w:t>
            </w:r>
          </w:p>
        </w:tc>
        <w:tc>
          <w:tcPr>
            <w:tcW w:w="1206" w:type="dxa"/>
            <w:shd w:val="clear" w:color="000000" w:fill="FFFFFF"/>
            <w:noWrap/>
            <w:vAlign w:val="center"/>
            <w:hideMark/>
          </w:tcPr>
          <w:p w14:paraId="7A1F8E0C" w14:textId="77777777" w:rsidR="00A3469B" w:rsidRPr="006E0AFE" w:rsidRDefault="00A3469B">
            <w:pPr>
              <w:jc w:val="right"/>
              <w:rPr>
                <w:color w:val="000000"/>
                <w:sz w:val="20"/>
                <w:szCs w:val="20"/>
              </w:rPr>
            </w:pPr>
            <w:r w:rsidRPr="006E0AFE">
              <w:rPr>
                <w:color w:val="000000"/>
                <w:sz w:val="20"/>
                <w:szCs w:val="20"/>
              </w:rPr>
              <w:t> </w:t>
            </w:r>
          </w:p>
        </w:tc>
        <w:tc>
          <w:tcPr>
            <w:tcW w:w="960" w:type="dxa"/>
            <w:shd w:val="clear" w:color="000000" w:fill="FFFFFF"/>
            <w:noWrap/>
            <w:vAlign w:val="center"/>
            <w:hideMark/>
          </w:tcPr>
          <w:p w14:paraId="2799694F" w14:textId="77777777" w:rsidR="00A3469B" w:rsidRPr="006E0AFE" w:rsidRDefault="00A3469B">
            <w:pPr>
              <w:jc w:val="right"/>
              <w:rPr>
                <w:b/>
                <w:bCs/>
                <w:color w:val="000000"/>
                <w:sz w:val="20"/>
                <w:szCs w:val="20"/>
              </w:rPr>
            </w:pPr>
            <w:r w:rsidRPr="006E0AFE">
              <w:rPr>
                <w:b/>
                <w:bCs/>
                <w:color w:val="000000"/>
                <w:sz w:val="20"/>
                <w:szCs w:val="20"/>
              </w:rPr>
              <w:t> </w:t>
            </w:r>
          </w:p>
        </w:tc>
        <w:tc>
          <w:tcPr>
            <w:tcW w:w="1016" w:type="dxa"/>
            <w:shd w:val="clear" w:color="auto" w:fill="auto"/>
            <w:vAlign w:val="center"/>
            <w:hideMark/>
          </w:tcPr>
          <w:p w14:paraId="4369B46C" w14:textId="77777777" w:rsidR="00A3469B" w:rsidRPr="006E0AFE" w:rsidRDefault="00A3469B">
            <w:pPr>
              <w:rPr>
                <w:sz w:val="20"/>
                <w:szCs w:val="20"/>
              </w:rPr>
            </w:pPr>
            <w:r w:rsidRPr="006E0AFE">
              <w:rPr>
                <w:sz w:val="20"/>
                <w:szCs w:val="20"/>
              </w:rPr>
              <w:t> </w:t>
            </w:r>
          </w:p>
        </w:tc>
        <w:tc>
          <w:tcPr>
            <w:tcW w:w="960" w:type="dxa"/>
            <w:shd w:val="clear" w:color="auto" w:fill="auto"/>
            <w:noWrap/>
            <w:vAlign w:val="bottom"/>
            <w:hideMark/>
          </w:tcPr>
          <w:p w14:paraId="493B59F7" w14:textId="77777777" w:rsidR="00A3469B" w:rsidRPr="006E0AFE" w:rsidRDefault="00A3469B">
            <w:pPr>
              <w:rPr>
                <w:color w:val="000000"/>
                <w:sz w:val="20"/>
                <w:szCs w:val="20"/>
              </w:rPr>
            </w:pPr>
            <w:r w:rsidRPr="006E0AFE">
              <w:rPr>
                <w:color w:val="000000"/>
                <w:sz w:val="20"/>
                <w:szCs w:val="20"/>
              </w:rPr>
              <w:t> </w:t>
            </w:r>
          </w:p>
        </w:tc>
        <w:tc>
          <w:tcPr>
            <w:tcW w:w="1058" w:type="dxa"/>
            <w:shd w:val="clear" w:color="000000" w:fill="FFFFFF"/>
            <w:noWrap/>
            <w:vAlign w:val="center"/>
            <w:hideMark/>
          </w:tcPr>
          <w:p w14:paraId="04F7448E" w14:textId="77777777" w:rsidR="00A3469B" w:rsidRPr="006E0AFE" w:rsidRDefault="00A3469B">
            <w:pPr>
              <w:jc w:val="right"/>
              <w:rPr>
                <w:color w:val="000000"/>
                <w:sz w:val="20"/>
                <w:szCs w:val="20"/>
              </w:rPr>
            </w:pPr>
            <w:r w:rsidRPr="006E0AFE">
              <w:rPr>
                <w:color w:val="000000"/>
                <w:sz w:val="20"/>
                <w:szCs w:val="20"/>
              </w:rPr>
              <w:t>251.400,00</w:t>
            </w:r>
          </w:p>
        </w:tc>
      </w:tr>
      <w:tr w:rsidR="00621203" w:rsidRPr="006E0AFE" w14:paraId="1AAE7F12" w14:textId="77777777" w:rsidTr="00800A92">
        <w:trPr>
          <w:trHeight w:val="398"/>
          <w:jc w:val="center"/>
        </w:trPr>
        <w:tc>
          <w:tcPr>
            <w:tcW w:w="3385" w:type="dxa"/>
            <w:shd w:val="clear" w:color="000000" w:fill="FFFFFF"/>
            <w:vAlign w:val="center"/>
            <w:hideMark/>
          </w:tcPr>
          <w:p w14:paraId="33325144" w14:textId="77777777" w:rsidR="00A3469B" w:rsidRPr="006E0AFE" w:rsidRDefault="00800A92">
            <w:pPr>
              <w:rPr>
                <w:color w:val="000000"/>
                <w:sz w:val="20"/>
                <w:szCs w:val="20"/>
              </w:rPr>
            </w:pPr>
            <w:r w:rsidRPr="006E0AFE">
              <w:rPr>
                <w:color w:val="000000"/>
                <w:sz w:val="20"/>
                <w:szCs w:val="20"/>
              </w:rPr>
              <w:t>V</w:t>
            </w:r>
            <w:r w:rsidR="00A3469B" w:rsidRPr="006E0AFE">
              <w:rPr>
                <w:color w:val="000000"/>
                <w:sz w:val="20"/>
                <w:szCs w:val="20"/>
              </w:rPr>
              <w:t>lastiti prihodi (pružanje usluga)</w:t>
            </w:r>
          </w:p>
        </w:tc>
        <w:tc>
          <w:tcPr>
            <w:tcW w:w="1366" w:type="dxa"/>
            <w:shd w:val="clear" w:color="000000" w:fill="FFFFFF"/>
            <w:noWrap/>
            <w:vAlign w:val="center"/>
            <w:hideMark/>
          </w:tcPr>
          <w:p w14:paraId="2C64791E" w14:textId="77777777" w:rsidR="00A3469B" w:rsidRPr="006E0AFE" w:rsidRDefault="00A3469B">
            <w:pPr>
              <w:jc w:val="right"/>
              <w:rPr>
                <w:color w:val="000000"/>
                <w:sz w:val="20"/>
                <w:szCs w:val="20"/>
              </w:rPr>
            </w:pPr>
            <w:r w:rsidRPr="006E0AFE">
              <w:rPr>
                <w:color w:val="000000"/>
                <w:sz w:val="20"/>
                <w:szCs w:val="20"/>
              </w:rPr>
              <w:t>435.000,00</w:t>
            </w:r>
          </w:p>
        </w:tc>
        <w:tc>
          <w:tcPr>
            <w:tcW w:w="1206" w:type="dxa"/>
            <w:shd w:val="clear" w:color="000000" w:fill="FFFFFF"/>
            <w:noWrap/>
            <w:vAlign w:val="center"/>
            <w:hideMark/>
          </w:tcPr>
          <w:p w14:paraId="25873E74" w14:textId="77777777" w:rsidR="00A3469B" w:rsidRPr="006E0AFE" w:rsidRDefault="00A3469B">
            <w:pPr>
              <w:jc w:val="right"/>
              <w:rPr>
                <w:color w:val="000000"/>
                <w:sz w:val="20"/>
                <w:szCs w:val="20"/>
              </w:rPr>
            </w:pPr>
            <w:r w:rsidRPr="006E0AFE">
              <w:rPr>
                <w:color w:val="000000"/>
                <w:sz w:val="20"/>
                <w:szCs w:val="20"/>
              </w:rPr>
              <w:t> </w:t>
            </w:r>
          </w:p>
        </w:tc>
        <w:tc>
          <w:tcPr>
            <w:tcW w:w="960" w:type="dxa"/>
            <w:shd w:val="clear" w:color="000000" w:fill="FFFFFF"/>
            <w:noWrap/>
            <w:vAlign w:val="center"/>
            <w:hideMark/>
          </w:tcPr>
          <w:p w14:paraId="5073B7B7" w14:textId="77777777" w:rsidR="00A3469B" w:rsidRPr="006E0AFE" w:rsidRDefault="00A3469B">
            <w:pPr>
              <w:jc w:val="right"/>
              <w:rPr>
                <w:b/>
                <w:bCs/>
                <w:color w:val="000000"/>
                <w:sz w:val="20"/>
                <w:szCs w:val="20"/>
              </w:rPr>
            </w:pPr>
            <w:r w:rsidRPr="006E0AFE">
              <w:rPr>
                <w:b/>
                <w:bCs/>
                <w:color w:val="000000"/>
                <w:sz w:val="20"/>
                <w:szCs w:val="20"/>
              </w:rPr>
              <w:t> </w:t>
            </w:r>
          </w:p>
        </w:tc>
        <w:tc>
          <w:tcPr>
            <w:tcW w:w="1016" w:type="dxa"/>
            <w:shd w:val="clear" w:color="auto" w:fill="auto"/>
            <w:vAlign w:val="center"/>
            <w:hideMark/>
          </w:tcPr>
          <w:p w14:paraId="025BBD94" w14:textId="77777777" w:rsidR="00A3469B" w:rsidRPr="006E0AFE" w:rsidRDefault="00A3469B">
            <w:pPr>
              <w:rPr>
                <w:sz w:val="20"/>
                <w:szCs w:val="20"/>
              </w:rPr>
            </w:pPr>
            <w:r w:rsidRPr="006E0AFE">
              <w:rPr>
                <w:sz w:val="20"/>
                <w:szCs w:val="20"/>
              </w:rPr>
              <w:t> </w:t>
            </w:r>
          </w:p>
        </w:tc>
        <w:tc>
          <w:tcPr>
            <w:tcW w:w="960" w:type="dxa"/>
            <w:shd w:val="clear" w:color="auto" w:fill="auto"/>
            <w:noWrap/>
            <w:vAlign w:val="bottom"/>
            <w:hideMark/>
          </w:tcPr>
          <w:p w14:paraId="14847EEE" w14:textId="77777777" w:rsidR="00A3469B" w:rsidRPr="006E0AFE" w:rsidRDefault="00A3469B">
            <w:pPr>
              <w:rPr>
                <w:color w:val="000000"/>
                <w:sz w:val="20"/>
                <w:szCs w:val="20"/>
              </w:rPr>
            </w:pPr>
            <w:r w:rsidRPr="006E0AFE">
              <w:rPr>
                <w:color w:val="000000"/>
                <w:sz w:val="20"/>
                <w:szCs w:val="20"/>
              </w:rPr>
              <w:t> </w:t>
            </w:r>
          </w:p>
        </w:tc>
        <w:tc>
          <w:tcPr>
            <w:tcW w:w="1058" w:type="dxa"/>
            <w:shd w:val="clear" w:color="000000" w:fill="FFFFFF"/>
            <w:noWrap/>
            <w:vAlign w:val="center"/>
            <w:hideMark/>
          </w:tcPr>
          <w:p w14:paraId="3A0631BA" w14:textId="77777777" w:rsidR="00A3469B" w:rsidRPr="006E0AFE" w:rsidRDefault="00A3469B">
            <w:pPr>
              <w:jc w:val="right"/>
              <w:rPr>
                <w:color w:val="000000"/>
                <w:sz w:val="20"/>
                <w:szCs w:val="20"/>
              </w:rPr>
            </w:pPr>
            <w:r w:rsidRPr="006E0AFE">
              <w:rPr>
                <w:color w:val="000000"/>
                <w:sz w:val="20"/>
                <w:szCs w:val="20"/>
              </w:rPr>
              <w:t>435.000,00</w:t>
            </w:r>
          </w:p>
        </w:tc>
      </w:tr>
      <w:tr w:rsidR="00621203" w:rsidRPr="006E0AFE" w14:paraId="1526EC6D" w14:textId="77777777" w:rsidTr="00800A92">
        <w:trPr>
          <w:trHeight w:val="315"/>
          <w:jc w:val="center"/>
        </w:trPr>
        <w:tc>
          <w:tcPr>
            <w:tcW w:w="3385" w:type="dxa"/>
            <w:shd w:val="clear" w:color="000000" w:fill="FFFFFF"/>
            <w:vAlign w:val="center"/>
            <w:hideMark/>
          </w:tcPr>
          <w:p w14:paraId="334D887E" w14:textId="77777777" w:rsidR="00A3469B" w:rsidRPr="006E0AFE" w:rsidRDefault="00800A92">
            <w:pPr>
              <w:rPr>
                <w:color w:val="000000"/>
                <w:sz w:val="20"/>
                <w:szCs w:val="20"/>
              </w:rPr>
            </w:pPr>
            <w:r w:rsidRPr="006E0AFE">
              <w:rPr>
                <w:color w:val="000000"/>
                <w:sz w:val="20"/>
                <w:szCs w:val="20"/>
              </w:rPr>
              <w:t>P</w:t>
            </w:r>
            <w:r w:rsidR="00A3469B" w:rsidRPr="006E0AFE">
              <w:rPr>
                <w:color w:val="000000"/>
                <w:sz w:val="20"/>
                <w:szCs w:val="20"/>
              </w:rPr>
              <w:t>rihodi od imovine</w:t>
            </w:r>
          </w:p>
        </w:tc>
        <w:tc>
          <w:tcPr>
            <w:tcW w:w="1366" w:type="dxa"/>
            <w:shd w:val="clear" w:color="000000" w:fill="FFFFFF"/>
            <w:noWrap/>
            <w:vAlign w:val="center"/>
            <w:hideMark/>
          </w:tcPr>
          <w:p w14:paraId="407A1108" w14:textId="77777777" w:rsidR="00A3469B" w:rsidRPr="006E0AFE" w:rsidRDefault="00A3469B">
            <w:pPr>
              <w:jc w:val="right"/>
              <w:rPr>
                <w:color w:val="000000"/>
                <w:sz w:val="20"/>
                <w:szCs w:val="20"/>
              </w:rPr>
            </w:pPr>
            <w:r w:rsidRPr="006E0AFE">
              <w:rPr>
                <w:color w:val="000000"/>
                <w:sz w:val="20"/>
                <w:szCs w:val="20"/>
              </w:rPr>
              <w:t> </w:t>
            </w:r>
          </w:p>
        </w:tc>
        <w:tc>
          <w:tcPr>
            <w:tcW w:w="1206" w:type="dxa"/>
            <w:shd w:val="clear" w:color="000000" w:fill="FFFFFF"/>
            <w:noWrap/>
            <w:vAlign w:val="center"/>
            <w:hideMark/>
          </w:tcPr>
          <w:p w14:paraId="25EC2FC8" w14:textId="77777777" w:rsidR="00A3469B" w:rsidRPr="006E0AFE" w:rsidRDefault="00A3469B">
            <w:pPr>
              <w:jc w:val="right"/>
              <w:rPr>
                <w:color w:val="000000"/>
                <w:sz w:val="20"/>
                <w:szCs w:val="20"/>
              </w:rPr>
            </w:pPr>
            <w:r w:rsidRPr="006E0AFE">
              <w:rPr>
                <w:color w:val="000000"/>
                <w:sz w:val="20"/>
                <w:szCs w:val="20"/>
              </w:rPr>
              <w:t>55.000,00</w:t>
            </w:r>
          </w:p>
        </w:tc>
        <w:tc>
          <w:tcPr>
            <w:tcW w:w="960" w:type="dxa"/>
            <w:shd w:val="clear" w:color="000000" w:fill="FFFFFF"/>
            <w:noWrap/>
            <w:vAlign w:val="center"/>
            <w:hideMark/>
          </w:tcPr>
          <w:p w14:paraId="70F1D742" w14:textId="77777777" w:rsidR="00A3469B" w:rsidRPr="006E0AFE" w:rsidRDefault="00A3469B">
            <w:pPr>
              <w:jc w:val="right"/>
              <w:rPr>
                <w:b/>
                <w:bCs/>
                <w:color w:val="000000"/>
                <w:sz w:val="20"/>
                <w:szCs w:val="20"/>
              </w:rPr>
            </w:pPr>
            <w:r w:rsidRPr="006E0AFE">
              <w:rPr>
                <w:b/>
                <w:bCs/>
                <w:color w:val="000000"/>
                <w:sz w:val="20"/>
                <w:szCs w:val="20"/>
              </w:rPr>
              <w:t> </w:t>
            </w:r>
          </w:p>
        </w:tc>
        <w:tc>
          <w:tcPr>
            <w:tcW w:w="1016" w:type="dxa"/>
            <w:shd w:val="clear" w:color="auto" w:fill="auto"/>
            <w:vAlign w:val="center"/>
            <w:hideMark/>
          </w:tcPr>
          <w:p w14:paraId="08DBE362" w14:textId="77777777" w:rsidR="00A3469B" w:rsidRPr="006E0AFE" w:rsidRDefault="00A3469B">
            <w:pPr>
              <w:jc w:val="right"/>
              <w:rPr>
                <w:sz w:val="20"/>
                <w:szCs w:val="20"/>
              </w:rPr>
            </w:pPr>
            <w:r w:rsidRPr="006E0AFE">
              <w:rPr>
                <w:sz w:val="20"/>
                <w:szCs w:val="20"/>
              </w:rPr>
              <w:t>64.000,00</w:t>
            </w:r>
          </w:p>
        </w:tc>
        <w:tc>
          <w:tcPr>
            <w:tcW w:w="960" w:type="dxa"/>
            <w:shd w:val="clear" w:color="auto" w:fill="auto"/>
            <w:noWrap/>
            <w:vAlign w:val="bottom"/>
            <w:hideMark/>
          </w:tcPr>
          <w:p w14:paraId="76AEE95C" w14:textId="77777777" w:rsidR="00A3469B" w:rsidRPr="006E0AFE" w:rsidRDefault="00A3469B">
            <w:pPr>
              <w:rPr>
                <w:color w:val="000000"/>
                <w:sz w:val="20"/>
                <w:szCs w:val="20"/>
              </w:rPr>
            </w:pPr>
            <w:r w:rsidRPr="006E0AFE">
              <w:rPr>
                <w:color w:val="000000"/>
                <w:sz w:val="20"/>
                <w:szCs w:val="20"/>
              </w:rPr>
              <w:t> </w:t>
            </w:r>
          </w:p>
        </w:tc>
        <w:tc>
          <w:tcPr>
            <w:tcW w:w="1058" w:type="dxa"/>
            <w:shd w:val="clear" w:color="000000" w:fill="FFFFFF"/>
            <w:noWrap/>
            <w:vAlign w:val="center"/>
            <w:hideMark/>
          </w:tcPr>
          <w:p w14:paraId="2F3B688E" w14:textId="77777777" w:rsidR="00A3469B" w:rsidRPr="006E0AFE" w:rsidRDefault="00A3469B">
            <w:pPr>
              <w:jc w:val="right"/>
              <w:rPr>
                <w:color w:val="000000"/>
                <w:sz w:val="20"/>
                <w:szCs w:val="20"/>
              </w:rPr>
            </w:pPr>
            <w:r w:rsidRPr="006E0AFE">
              <w:rPr>
                <w:color w:val="000000"/>
                <w:sz w:val="20"/>
                <w:szCs w:val="20"/>
              </w:rPr>
              <w:t>119.000,00</w:t>
            </w:r>
          </w:p>
        </w:tc>
      </w:tr>
      <w:tr w:rsidR="00621203" w:rsidRPr="006E0AFE" w14:paraId="38E071E4" w14:textId="77777777" w:rsidTr="00800A92">
        <w:trPr>
          <w:trHeight w:val="315"/>
          <w:jc w:val="center"/>
        </w:trPr>
        <w:tc>
          <w:tcPr>
            <w:tcW w:w="3385" w:type="dxa"/>
            <w:shd w:val="clear" w:color="000000" w:fill="FFFFFF"/>
            <w:vAlign w:val="center"/>
            <w:hideMark/>
          </w:tcPr>
          <w:p w14:paraId="1148C71A" w14:textId="77777777" w:rsidR="00A3469B" w:rsidRPr="006E0AFE" w:rsidRDefault="00800A92">
            <w:pPr>
              <w:rPr>
                <w:b/>
                <w:color w:val="000000"/>
                <w:sz w:val="20"/>
                <w:szCs w:val="20"/>
              </w:rPr>
            </w:pPr>
            <w:r w:rsidRPr="006E0AFE">
              <w:rPr>
                <w:b/>
                <w:color w:val="000000"/>
                <w:sz w:val="20"/>
                <w:szCs w:val="20"/>
              </w:rPr>
              <w:t>U</w:t>
            </w:r>
            <w:r w:rsidR="00A3469B" w:rsidRPr="006E0AFE">
              <w:rPr>
                <w:b/>
                <w:color w:val="000000"/>
                <w:sz w:val="20"/>
                <w:szCs w:val="20"/>
              </w:rPr>
              <w:t xml:space="preserve">kupni vlastiti </w:t>
            </w:r>
            <w:r w:rsidRPr="006E0AFE">
              <w:rPr>
                <w:b/>
                <w:color w:val="000000"/>
                <w:sz w:val="20"/>
                <w:szCs w:val="20"/>
              </w:rPr>
              <w:t xml:space="preserve">i namjenski </w:t>
            </w:r>
            <w:r w:rsidR="00A3469B" w:rsidRPr="006E0AFE">
              <w:rPr>
                <w:b/>
                <w:color w:val="000000"/>
                <w:sz w:val="20"/>
                <w:szCs w:val="20"/>
              </w:rPr>
              <w:t>prihodi</w:t>
            </w:r>
          </w:p>
        </w:tc>
        <w:tc>
          <w:tcPr>
            <w:tcW w:w="1366" w:type="dxa"/>
            <w:shd w:val="clear" w:color="000000" w:fill="FFFFFF"/>
            <w:noWrap/>
            <w:vAlign w:val="center"/>
            <w:hideMark/>
          </w:tcPr>
          <w:p w14:paraId="300AD815" w14:textId="77777777" w:rsidR="00A3469B" w:rsidRPr="006E0AFE" w:rsidRDefault="00A3469B">
            <w:pPr>
              <w:jc w:val="right"/>
              <w:rPr>
                <w:b/>
                <w:color w:val="000000"/>
                <w:sz w:val="20"/>
                <w:szCs w:val="20"/>
              </w:rPr>
            </w:pPr>
            <w:r w:rsidRPr="006E0AFE">
              <w:rPr>
                <w:b/>
                <w:color w:val="000000"/>
                <w:sz w:val="20"/>
                <w:szCs w:val="20"/>
              </w:rPr>
              <w:t>4.185.630,00</w:t>
            </w:r>
          </w:p>
        </w:tc>
        <w:tc>
          <w:tcPr>
            <w:tcW w:w="1206" w:type="dxa"/>
            <w:shd w:val="clear" w:color="000000" w:fill="FFFFFF"/>
            <w:noWrap/>
            <w:vAlign w:val="center"/>
            <w:hideMark/>
          </w:tcPr>
          <w:p w14:paraId="2B107AD7" w14:textId="77777777" w:rsidR="00A3469B" w:rsidRPr="006E0AFE" w:rsidRDefault="00A3469B">
            <w:pPr>
              <w:jc w:val="right"/>
              <w:rPr>
                <w:b/>
                <w:color w:val="000000"/>
                <w:sz w:val="20"/>
                <w:szCs w:val="20"/>
              </w:rPr>
            </w:pPr>
            <w:r w:rsidRPr="006E0AFE">
              <w:rPr>
                <w:b/>
                <w:color w:val="000000"/>
                <w:sz w:val="20"/>
                <w:szCs w:val="20"/>
              </w:rPr>
              <w:t>55.000,00</w:t>
            </w:r>
          </w:p>
        </w:tc>
        <w:tc>
          <w:tcPr>
            <w:tcW w:w="960" w:type="dxa"/>
            <w:shd w:val="clear" w:color="000000" w:fill="FFFFFF"/>
            <w:noWrap/>
            <w:vAlign w:val="center"/>
            <w:hideMark/>
          </w:tcPr>
          <w:p w14:paraId="32456272" w14:textId="77777777" w:rsidR="00A3469B" w:rsidRPr="006E0AFE" w:rsidRDefault="00A3469B">
            <w:pPr>
              <w:jc w:val="right"/>
              <w:rPr>
                <w:b/>
                <w:color w:val="000000"/>
                <w:sz w:val="20"/>
                <w:szCs w:val="20"/>
              </w:rPr>
            </w:pPr>
            <w:r w:rsidRPr="006E0AFE">
              <w:rPr>
                <w:b/>
                <w:color w:val="000000"/>
                <w:sz w:val="20"/>
                <w:szCs w:val="20"/>
              </w:rPr>
              <w:t>0,00</w:t>
            </w:r>
          </w:p>
        </w:tc>
        <w:tc>
          <w:tcPr>
            <w:tcW w:w="1016" w:type="dxa"/>
            <w:shd w:val="clear" w:color="000000" w:fill="FFFFFF"/>
            <w:noWrap/>
            <w:vAlign w:val="center"/>
            <w:hideMark/>
          </w:tcPr>
          <w:p w14:paraId="2ADE8F2D" w14:textId="77777777" w:rsidR="00A3469B" w:rsidRPr="006E0AFE" w:rsidRDefault="00A3469B">
            <w:pPr>
              <w:jc w:val="right"/>
              <w:rPr>
                <w:b/>
                <w:color w:val="000000"/>
                <w:sz w:val="20"/>
                <w:szCs w:val="20"/>
              </w:rPr>
            </w:pPr>
            <w:r w:rsidRPr="006E0AFE">
              <w:rPr>
                <w:b/>
                <w:color w:val="000000"/>
                <w:sz w:val="20"/>
                <w:szCs w:val="20"/>
              </w:rPr>
              <w:t>64.000,00</w:t>
            </w:r>
          </w:p>
        </w:tc>
        <w:tc>
          <w:tcPr>
            <w:tcW w:w="960" w:type="dxa"/>
            <w:shd w:val="clear" w:color="000000" w:fill="FFFFFF"/>
            <w:noWrap/>
            <w:vAlign w:val="center"/>
            <w:hideMark/>
          </w:tcPr>
          <w:p w14:paraId="37276A12" w14:textId="77777777" w:rsidR="00A3469B" w:rsidRPr="006E0AFE" w:rsidRDefault="00A3469B">
            <w:pPr>
              <w:jc w:val="right"/>
              <w:rPr>
                <w:b/>
                <w:color w:val="000000"/>
                <w:sz w:val="20"/>
                <w:szCs w:val="20"/>
              </w:rPr>
            </w:pPr>
            <w:r w:rsidRPr="006E0AFE">
              <w:rPr>
                <w:b/>
                <w:color w:val="000000"/>
                <w:sz w:val="20"/>
                <w:szCs w:val="20"/>
              </w:rPr>
              <w:t>0,00</w:t>
            </w:r>
          </w:p>
        </w:tc>
        <w:tc>
          <w:tcPr>
            <w:tcW w:w="1058" w:type="dxa"/>
            <w:shd w:val="clear" w:color="000000" w:fill="FFFFFF"/>
            <w:noWrap/>
            <w:vAlign w:val="center"/>
            <w:hideMark/>
          </w:tcPr>
          <w:p w14:paraId="7E1CFB45" w14:textId="77777777" w:rsidR="00A3469B" w:rsidRPr="006E0AFE" w:rsidRDefault="00A3469B">
            <w:pPr>
              <w:jc w:val="right"/>
              <w:rPr>
                <w:b/>
                <w:color w:val="000000"/>
                <w:sz w:val="20"/>
                <w:szCs w:val="20"/>
              </w:rPr>
            </w:pPr>
            <w:r w:rsidRPr="006E0AFE">
              <w:rPr>
                <w:b/>
                <w:color w:val="000000"/>
                <w:sz w:val="20"/>
                <w:szCs w:val="20"/>
              </w:rPr>
              <w:t>4.304.630,00</w:t>
            </w:r>
          </w:p>
        </w:tc>
      </w:tr>
      <w:tr w:rsidR="00621203" w:rsidRPr="006E0AFE" w14:paraId="15E1F1BC" w14:textId="77777777" w:rsidTr="00800A92">
        <w:trPr>
          <w:trHeight w:val="315"/>
          <w:jc w:val="center"/>
        </w:trPr>
        <w:tc>
          <w:tcPr>
            <w:tcW w:w="3385" w:type="dxa"/>
            <w:shd w:val="clear" w:color="000000" w:fill="FFFFFF"/>
            <w:vAlign w:val="center"/>
            <w:hideMark/>
          </w:tcPr>
          <w:p w14:paraId="157DF9FE" w14:textId="77777777" w:rsidR="00A3469B" w:rsidRPr="006E0AFE" w:rsidRDefault="00800A92">
            <w:pPr>
              <w:rPr>
                <w:b/>
                <w:color w:val="000000"/>
                <w:sz w:val="20"/>
                <w:szCs w:val="20"/>
              </w:rPr>
            </w:pPr>
            <w:r w:rsidRPr="006E0AFE">
              <w:rPr>
                <w:b/>
                <w:color w:val="000000"/>
                <w:sz w:val="20"/>
                <w:szCs w:val="20"/>
              </w:rPr>
              <w:t>U</w:t>
            </w:r>
            <w:r w:rsidR="00A3469B" w:rsidRPr="006E0AFE">
              <w:rPr>
                <w:b/>
                <w:color w:val="000000"/>
                <w:sz w:val="20"/>
                <w:szCs w:val="20"/>
              </w:rPr>
              <w:t>kupni prihodi</w:t>
            </w:r>
          </w:p>
        </w:tc>
        <w:tc>
          <w:tcPr>
            <w:tcW w:w="1366" w:type="dxa"/>
            <w:shd w:val="clear" w:color="000000" w:fill="FFFFFF"/>
            <w:noWrap/>
            <w:vAlign w:val="center"/>
            <w:hideMark/>
          </w:tcPr>
          <w:p w14:paraId="1CEC47AA" w14:textId="77777777" w:rsidR="00A3469B" w:rsidRPr="006E0AFE" w:rsidRDefault="00A3469B">
            <w:pPr>
              <w:jc w:val="right"/>
              <w:rPr>
                <w:b/>
                <w:color w:val="000000"/>
                <w:sz w:val="20"/>
                <w:szCs w:val="20"/>
              </w:rPr>
            </w:pPr>
            <w:r w:rsidRPr="006E0AFE">
              <w:rPr>
                <w:b/>
                <w:color w:val="000000"/>
                <w:sz w:val="20"/>
                <w:szCs w:val="20"/>
              </w:rPr>
              <w:t>11.868.200,00</w:t>
            </w:r>
          </w:p>
        </w:tc>
        <w:tc>
          <w:tcPr>
            <w:tcW w:w="1206" w:type="dxa"/>
            <w:shd w:val="clear" w:color="000000" w:fill="FFFFFF"/>
            <w:noWrap/>
            <w:vAlign w:val="center"/>
            <w:hideMark/>
          </w:tcPr>
          <w:p w14:paraId="2F85F5B0" w14:textId="77777777" w:rsidR="00A3469B" w:rsidRPr="006E0AFE" w:rsidRDefault="00A3469B">
            <w:pPr>
              <w:jc w:val="right"/>
              <w:rPr>
                <w:b/>
                <w:color w:val="000000"/>
                <w:sz w:val="20"/>
                <w:szCs w:val="20"/>
              </w:rPr>
            </w:pPr>
            <w:r w:rsidRPr="006E0AFE">
              <w:rPr>
                <w:b/>
                <w:color w:val="000000"/>
                <w:sz w:val="20"/>
                <w:szCs w:val="20"/>
              </w:rPr>
              <w:t>59.600,00</w:t>
            </w:r>
          </w:p>
        </w:tc>
        <w:tc>
          <w:tcPr>
            <w:tcW w:w="960" w:type="dxa"/>
            <w:shd w:val="clear" w:color="000000" w:fill="FFFFFF"/>
            <w:noWrap/>
            <w:vAlign w:val="center"/>
            <w:hideMark/>
          </w:tcPr>
          <w:p w14:paraId="412F2BDE" w14:textId="77777777" w:rsidR="00A3469B" w:rsidRPr="006E0AFE" w:rsidRDefault="00A3469B">
            <w:pPr>
              <w:jc w:val="right"/>
              <w:rPr>
                <w:b/>
                <w:color w:val="000000"/>
                <w:sz w:val="20"/>
                <w:szCs w:val="20"/>
              </w:rPr>
            </w:pPr>
            <w:r w:rsidRPr="006E0AFE">
              <w:rPr>
                <w:b/>
                <w:color w:val="000000"/>
                <w:sz w:val="20"/>
                <w:szCs w:val="20"/>
              </w:rPr>
              <w:t>6.900,00</w:t>
            </w:r>
          </w:p>
        </w:tc>
        <w:tc>
          <w:tcPr>
            <w:tcW w:w="1016" w:type="dxa"/>
            <w:shd w:val="clear" w:color="000000" w:fill="FFFFFF"/>
            <w:noWrap/>
            <w:vAlign w:val="center"/>
            <w:hideMark/>
          </w:tcPr>
          <w:p w14:paraId="49B2AFB3" w14:textId="77777777" w:rsidR="00A3469B" w:rsidRPr="006E0AFE" w:rsidRDefault="00A3469B">
            <w:pPr>
              <w:jc w:val="right"/>
              <w:rPr>
                <w:b/>
                <w:color w:val="000000"/>
                <w:sz w:val="20"/>
                <w:szCs w:val="20"/>
              </w:rPr>
            </w:pPr>
            <w:r w:rsidRPr="006E0AFE">
              <w:rPr>
                <w:b/>
                <w:color w:val="000000"/>
                <w:sz w:val="20"/>
                <w:szCs w:val="20"/>
              </w:rPr>
              <w:t>79.350,00</w:t>
            </w:r>
          </w:p>
        </w:tc>
        <w:tc>
          <w:tcPr>
            <w:tcW w:w="960" w:type="dxa"/>
            <w:shd w:val="clear" w:color="000000" w:fill="FFFFFF"/>
            <w:noWrap/>
            <w:vAlign w:val="center"/>
            <w:hideMark/>
          </w:tcPr>
          <w:p w14:paraId="670B4DE0" w14:textId="77777777" w:rsidR="00A3469B" w:rsidRPr="006E0AFE" w:rsidRDefault="00A3469B">
            <w:pPr>
              <w:jc w:val="right"/>
              <w:rPr>
                <w:b/>
                <w:color w:val="000000"/>
                <w:sz w:val="20"/>
                <w:szCs w:val="20"/>
              </w:rPr>
            </w:pPr>
            <w:r w:rsidRPr="006E0AFE">
              <w:rPr>
                <w:b/>
                <w:color w:val="000000"/>
                <w:sz w:val="20"/>
                <w:szCs w:val="20"/>
              </w:rPr>
              <w:t>6.500,00</w:t>
            </w:r>
          </w:p>
        </w:tc>
        <w:tc>
          <w:tcPr>
            <w:tcW w:w="1058" w:type="dxa"/>
            <w:shd w:val="clear" w:color="000000" w:fill="FFFFFF"/>
            <w:noWrap/>
            <w:vAlign w:val="center"/>
            <w:hideMark/>
          </w:tcPr>
          <w:p w14:paraId="37B78123" w14:textId="77777777" w:rsidR="00A3469B" w:rsidRPr="006E0AFE" w:rsidRDefault="00A3469B">
            <w:pPr>
              <w:jc w:val="right"/>
              <w:rPr>
                <w:b/>
                <w:color w:val="000000"/>
                <w:sz w:val="20"/>
                <w:szCs w:val="20"/>
              </w:rPr>
            </w:pPr>
            <w:r w:rsidRPr="006E0AFE">
              <w:rPr>
                <w:b/>
                <w:color w:val="000000"/>
                <w:sz w:val="20"/>
                <w:szCs w:val="20"/>
              </w:rPr>
              <w:t>12.020.550,00</w:t>
            </w:r>
          </w:p>
        </w:tc>
      </w:tr>
      <w:tr w:rsidR="00621203" w:rsidRPr="006E0AFE" w14:paraId="0E323B0B" w14:textId="77777777" w:rsidTr="00800A92">
        <w:trPr>
          <w:trHeight w:val="315"/>
          <w:jc w:val="center"/>
        </w:trPr>
        <w:tc>
          <w:tcPr>
            <w:tcW w:w="3385" w:type="dxa"/>
            <w:shd w:val="clear" w:color="000000" w:fill="FFFFFF"/>
            <w:vAlign w:val="center"/>
            <w:hideMark/>
          </w:tcPr>
          <w:p w14:paraId="180380DB" w14:textId="77777777" w:rsidR="00A3469B" w:rsidRPr="006E0AFE" w:rsidRDefault="00800A92">
            <w:pPr>
              <w:rPr>
                <w:color w:val="000000"/>
                <w:sz w:val="20"/>
                <w:szCs w:val="20"/>
              </w:rPr>
            </w:pPr>
            <w:r w:rsidRPr="006E0AFE">
              <w:rPr>
                <w:color w:val="000000"/>
                <w:sz w:val="20"/>
                <w:szCs w:val="20"/>
              </w:rPr>
              <w:t>S</w:t>
            </w:r>
            <w:r w:rsidR="00A3469B" w:rsidRPr="006E0AFE">
              <w:rPr>
                <w:color w:val="000000"/>
                <w:sz w:val="20"/>
                <w:szCs w:val="20"/>
              </w:rPr>
              <w:t>redstva iz proračuna</w:t>
            </w:r>
          </w:p>
        </w:tc>
        <w:tc>
          <w:tcPr>
            <w:tcW w:w="1366" w:type="dxa"/>
            <w:shd w:val="clear" w:color="000000" w:fill="FFFFFF"/>
            <w:noWrap/>
            <w:vAlign w:val="center"/>
            <w:hideMark/>
          </w:tcPr>
          <w:p w14:paraId="597316F1" w14:textId="77777777" w:rsidR="00A3469B" w:rsidRPr="006E0AFE" w:rsidRDefault="00A3469B">
            <w:pPr>
              <w:jc w:val="right"/>
              <w:rPr>
                <w:color w:val="000000"/>
                <w:sz w:val="20"/>
                <w:szCs w:val="20"/>
              </w:rPr>
            </w:pPr>
            <w:r w:rsidRPr="006E0AFE">
              <w:rPr>
                <w:color w:val="000000"/>
                <w:sz w:val="20"/>
                <w:szCs w:val="20"/>
              </w:rPr>
              <w:t>7.682.570,00</w:t>
            </w:r>
          </w:p>
        </w:tc>
        <w:tc>
          <w:tcPr>
            <w:tcW w:w="1206" w:type="dxa"/>
            <w:shd w:val="clear" w:color="000000" w:fill="FFFFFF"/>
            <w:noWrap/>
            <w:vAlign w:val="center"/>
            <w:hideMark/>
          </w:tcPr>
          <w:p w14:paraId="2F43FD09" w14:textId="77777777" w:rsidR="00A3469B" w:rsidRPr="006E0AFE" w:rsidRDefault="00A3469B">
            <w:pPr>
              <w:jc w:val="right"/>
              <w:rPr>
                <w:color w:val="000000"/>
                <w:sz w:val="20"/>
                <w:szCs w:val="20"/>
              </w:rPr>
            </w:pPr>
            <w:r w:rsidRPr="006E0AFE">
              <w:rPr>
                <w:color w:val="000000"/>
                <w:sz w:val="20"/>
                <w:szCs w:val="20"/>
              </w:rPr>
              <w:t>4.600,00</w:t>
            </w:r>
          </w:p>
        </w:tc>
        <w:tc>
          <w:tcPr>
            <w:tcW w:w="960" w:type="dxa"/>
            <w:shd w:val="clear" w:color="000000" w:fill="FFFFFF"/>
            <w:noWrap/>
            <w:vAlign w:val="center"/>
            <w:hideMark/>
          </w:tcPr>
          <w:p w14:paraId="5E4F01CF" w14:textId="77777777" w:rsidR="00A3469B" w:rsidRPr="006E0AFE" w:rsidRDefault="00A3469B">
            <w:pPr>
              <w:jc w:val="right"/>
              <w:rPr>
                <w:color w:val="000000"/>
                <w:sz w:val="20"/>
                <w:szCs w:val="20"/>
              </w:rPr>
            </w:pPr>
            <w:r w:rsidRPr="006E0AFE">
              <w:rPr>
                <w:color w:val="000000"/>
                <w:sz w:val="20"/>
                <w:szCs w:val="20"/>
              </w:rPr>
              <w:t>6.900,00</w:t>
            </w:r>
          </w:p>
        </w:tc>
        <w:tc>
          <w:tcPr>
            <w:tcW w:w="1016" w:type="dxa"/>
            <w:shd w:val="clear" w:color="000000" w:fill="FFFFFF"/>
            <w:noWrap/>
            <w:vAlign w:val="center"/>
            <w:hideMark/>
          </w:tcPr>
          <w:p w14:paraId="18053D3D" w14:textId="77777777" w:rsidR="00A3469B" w:rsidRPr="006E0AFE" w:rsidRDefault="00A3469B">
            <w:pPr>
              <w:jc w:val="right"/>
              <w:rPr>
                <w:color w:val="000000"/>
                <w:sz w:val="20"/>
                <w:szCs w:val="20"/>
              </w:rPr>
            </w:pPr>
            <w:r w:rsidRPr="006E0AFE">
              <w:rPr>
                <w:color w:val="000000"/>
                <w:sz w:val="20"/>
                <w:szCs w:val="20"/>
              </w:rPr>
              <w:t>15.350,00</w:t>
            </w:r>
          </w:p>
        </w:tc>
        <w:tc>
          <w:tcPr>
            <w:tcW w:w="960" w:type="dxa"/>
            <w:shd w:val="clear" w:color="000000" w:fill="FFFFFF"/>
            <w:noWrap/>
            <w:vAlign w:val="center"/>
            <w:hideMark/>
          </w:tcPr>
          <w:p w14:paraId="1C0B1B3D" w14:textId="77777777" w:rsidR="00A3469B" w:rsidRPr="006E0AFE" w:rsidRDefault="00A3469B">
            <w:pPr>
              <w:jc w:val="right"/>
              <w:rPr>
                <w:color w:val="000000"/>
                <w:sz w:val="20"/>
                <w:szCs w:val="20"/>
              </w:rPr>
            </w:pPr>
            <w:r w:rsidRPr="006E0AFE">
              <w:rPr>
                <w:color w:val="000000"/>
                <w:sz w:val="20"/>
                <w:szCs w:val="20"/>
              </w:rPr>
              <w:t>6.500,00</w:t>
            </w:r>
          </w:p>
        </w:tc>
        <w:tc>
          <w:tcPr>
            <w:tcW w:w="1058" w:type="dxa"/>
            <w:shd w:val="clear" w:color="000000" w:fill="FFFFFF"/>
            <w:noWrap/>
            <w:vAlign w:val="center"/>
            <w:hideMark/>
          </w:tcPr>
          <w:p w14:paraId="7120B0F9" w14:textId="77777777" w:rsidR="00A3469B" w:rsidRPr="006E0AFE" w:rsidRDefault="00A3469B">
            <w:pPr>
              <w:jc w:val="right"/>
              <w:rPr>
                <w:color w:val="000000"/>
                <w:sz w:val="20"/>
                <w:szCs w:val="20"/>
              </w:rPr>
            </w:pPr>
            <w:r w:rsidRPr="006E0AFE">
              <w:rPr>
                <w:color w:val="000000"/>
                <w:sz w:val="20"/>
                <w:szCs w:val="20"/>
              </w:rPr>
              <w:t>7.715.920,00</w:t>
            </w:r>
          </w:p>
        </w:tc>
      </w:tr>
      <w:tr w:rsidR="00621203" w:rsidRPr="006E0AFE" w14:paraId="10BDB3E0" w14:textId="77777777" w:rsidTr="00800A92">
        <w:trPr>
          <w:trHeight w:val="525"/>
          <w:jc w:val="center"/>
        </w:trPr>
        <w:tc>
          <w:tcPr>
            <w:tcW w:w="3385" w:type="dxa"/>
            <w:shd w:val="clear" w:color="000000" w:fill="FFFFFF"/>
            <w:vAlign w:val="center"/>
            <w:hideMark/>
          </w:tcPr>
          <w:p w14:paraId="380FCEC4" w14:textId="77777777" w:rsidR="00A3469B" w:rsidRPr="006E0AFE" w:rsidRDefault="00800A92" w:rsidP="00E46340">
            <w:pPr>
              <w:rPr>
                <w:color w:val="000000"/>
                <w:sz w:val="20"/>
                <w:szCs w:val="20"/>
              </w:rPr>
            </w:pPr>
            <w:r w:rsidRPr="006E0AFE">
              <w:rPr>
                <w:color w:val="000000"/>
                <w:sz w:val="20"/>
                <w:szCs w:val="20"/>
              </w:rPr>
              <w:t>U</w:t>
            </w:r>
            <w:r w:rsidR="00A3469B" w:rsidRPr="006E0AFE">
              <w:rPr>
                <w:color w:val="000000"/>
                <w:sz w:val="20"/>
                <w:szCs w:val="20"/>
              </w:rPr>
              <w:t>češće vlastitih</w:t>
            </w:r>
            <w:r w:rsidR="00E46340" w:rsidRPr="006E0AFE">
              <w:rPr>
                <w:color w:val="000000"/>
                <w:sz w:val="20"/>
                <w:szCs w:val="20"/>
              </w:rPr>
              <w:t xml:space="preserve"> i namjenskih </w:t>
            </w:r>
            <w:r w:rsidR="00A3469B" w:rsidRPr="006E0AFE">
              <w:rPr>
                <w:color w:val="000000"/>
                <w:sz w:val="20"/>
                <w:szCs w:val="20"/>
              </w:rPr>
              <w:t>prihoda u ukupnim</w:t>
            </w:r>
            <w:r w:rsidR="00621203" w:rsidRPr="006E0AFE">
              <w:rPr>
                <w:color w:val="000000"/>
                <w:sz w:val="20"/>
                <w:szCs w:val="20"/>
              </w:rPr>
              <w:t xml:space="preserve"> prih</w:t>
            </w:r>
            <w:r w:rsidR="00E46340" w:rsidRPr="006E0AFE">
              <w:rPr>
                <w:color w:val="000000"/>
                <w:sz w:val="20"/>
                <w:szCs w:val="20"/>
              </w:rPr>
              <w:t>od</w:t>
            </w:r>
            <w:r w:rsidR="00621203" w:rsidRPr="006E0AFE">
              <w:rPr>
                <w:color w:val="000000"/>
                <w:sz w:val="20"/>
                <w:szCs w:val="20"/>
              </w:rPr>
              <w:t>ima</w:t>
            </w:r>
          </w:p>
        </w:tc>
        <w:tc>
          <w:tcPr>
            <w:tcW w:w="1366" w:type="dxa"/>
            <w:shd w:val="clear" w:color="auto" w:fill="auto"/>
            <w:noWrap/>
            <w:vAlign w:val="center"/>
            <w:hideMark/>
          </w:tcPr>
          <w:p w14:paraId="517C10C4" w14:textId="77777777" w:rsidR="00A3469B" w:rsidRPr="006E0AFE" w:rsidRDefault="00A3469B">
            <w:pPr>
              <w:jc w:val="center"/>
              <w:rPr>
                <w:color w:val="000000"/>
                <w:sz w:val="20"/>
                <w:szCs w:val="20"/>
              </w:rPr>
            </w:pPr>
            <w:r w:rsidRPr="006E0AFE">
              <w:rPr>
                <w:color w:val="000000"/>
                <w:sz w:val="20"/>
                <w:szCs w:val="20"/>
              </w:rPr>
              <w:t>35,27%</w:t>
            </w:r>
          </w:p>
        </w:tc>
        <w:tc>
          <w:tcPr>
            <w:tcW w:w="1206" w:type="dxa"/>
            <w:shd w:val="clear" w:color="auto" w:fill="auto"/>
            <w:noWrap/>
            <w:vAlign w:val="center"/>
            <w:hideMark/>
          </w:tcPr>
          <w:p w14:paraId="1F9C07B2" w14:textId="77777777" w:rsidR="00A3469B" w:rsidRPr="006E0AFE" w:rsidRDefault="00A3469B">
            <w:pPr>
              <w:jc w:val="center"/>
              <w:rPr>
                <w:color w:val="000000"/>
                <w:sz w:val="20"/>
                <w:szCs w:val="20"/>
              </w:rPr>
            </w:pPr>
            <w:r w:rsidRPr="006E0AFE">
              <w:rPr>
                <w:color w:val="000000"/>
                <w:sz w:val="20"/>
                <w:szCs w:val="20"/>
              </w:rPr>
              <w:t>92,28%</w:t>
            </w:r>
          </w:p>
        </w:tc>
        <w:tc>
          <w:tcPr>
            <w:tcW w:w="960" w:type="dxa"/>
            <w:shd w:val="clear" w:color="auto" w:fill="auto"/>
            <w:noWrap/>
            <w:vAlign w:val="center"/>
            <w:hideMark/>
          </w:tcPr>
          <w:p w14:paraId="3FDFFEFF" w14:textId="77777777" w:rsidR="00A3469B" w:rsidRPr="006E0AFE" w:rsidRDefault="00A3469B">
            <w:pPr>
              <w:jc w:val="center"/>
              <w:rPr>
                <w:color w:val="000000"/>
                <w:sz w:val="20"/>
                <w:szCs w:val="20"/>
              </w:rPr>
            </w:pPr>
            <w:r w:rsidRPr="006E0AFE">
              <w:rPr>
                <w:color w:val="000000"/>
                <w:sz w:val="20"/>
                <w:szCs w:val="20"/>
              </w:rPr>
              <w:t>0,00%</w:t>
            </w:r>
          </w:p>
        </w:tc>
        <w:tc>
          <w:tcPr>
            <w:tcW w:w="1016" w:type="dxa"/>
            <w:shd w:val="clear" w:color="auto" w:fill="auto"/>
            <w:noWrap/>
            <w:vAlign w:val="center"/>
            <w:hideMark/>
          </w:tcPr>
          <w:p w14:paraId="0F46537B" w14:textId="77777777" w:rsidR="00A3469B" w:rsidRPr="006E0AFE" w:rsidRDefault="00A3469B">
            <w:pPr>
              <w:jc w:val="center"/>
              <w:rPr>
                <w:color w:val="000000"/>
                <w:sz w:val="20"/>
                <w:szCs w:val="20"/>
              </w:rPr>
            </w:pPr>
            <w:r w:rsidRPr="006E0AFE">
              <w:rPr>
                <w:color w:val="000000"/>
                <w:sz w:val="20"/>
                <w:szCs w:val="20"/>
              </w:rPr>
              <w:t>80,66%</w:t>
            </w:r>
          </w:p>
        </w:tc>
        <w:tc>
          <w:tcPr>
            <w:tcW w:w="960" w:type="dxa"/>
            <w:shd w:val="clear" w:color="auto" w:fill="auto"/>
            <w:noWrap/>
            <w:vAlign w:val="center"/>
            <w:hideMark/>
          </w:tcPr>
          <w:p w14:paraId="17FD5D2B" w14:textId="77777777" w:rsidR="00A3469B" w:rsidRPr="006E0AFE" w:rsidRDefault="00A3469B">
            <w:pPr>
              <w:jc w:val="center"/>
              <w:rPr>
                <w:color w:val="000000"/>
                <w:sz w:val="20"/>
                <w:szCs w:val="20"/>
              </w:rPr>
            </w:pPr>
            <w:r w:rsidRPr="006E0AFE">
              <w:rPr>
                <w:color w:val="000000"/>
                <w:sz w:val="20"/>
                <w:szCs w:val="20"/>
              </w:rPr>
              <w:t>0,00%</w:t>
            </w:r>
          </w:p>
        </w:tc>
        <w:tc>
          <w:tcPr>
            <w:tcW w:w="1058" w:type="dxa"/>
            <w:shd w:val="clear" w:color="auto" w:fill="auto"/>
            <w:noWrap/>
            <w:vAlign w:val="center"/>
            <w:hideMark/>
          </w:tcPr>
          <w:p w14:paraId="6DEBF909" w14:textId="77777777" w:rsidR="00A3469B" w:rsidRPr="006E0AFE" w:rsidRDefault="00A3469B">
            <w:pPr>
              <w:jc w:val="center"/>
              <w:rPr>
                <w:color w:val="000000"/>
                <w:sz w:val="20"/>
                <w:szCs w:val="20"/>
              </w:rPr>
            </w:pPr>
            <w:r w:rsidRPr="006E0AFE">
              <w:rPr>
                <w:color w:val="000000"/>
                <w:sz w:val="20"/>
                <w:szCs w:val="20"/>
              </w:rPr>
              <w:t>35,81%</w:t>
            </w:r>
          </w:p>
        </w:tc>
      </w:tr>
    </w:tbl>
    <w:p w14:paraId="58AA578A" w14:textId="77777777" w:rsidR="00100CD2" w:rsidRPr="006E0AFE" w:rsidRDefault="00100CD2" w:rsidP="00EF4E77">
      <w:pPr>
        <w:jc w:val="both"/>
        <w:rPr>
          <w:rFonts w:eastAsia="Calibri"/>
          <w:highlight w:val="yellow"/>
        </w:rPr>
      </w:pPr>
    </w:p>
    <w:p w14:paraId="19ED27B2" w14:textId="77777777" w:rsidR="00A3469B" w:rsidRPr="006E0AFE" w:rsidRDefault="005C1684" w:rsidP="00EF4E77">
      <w:pPr>
        <w:jc w:val="both"/>
        <w:rPr>
          <w:rFonts w:eastAsia="Calibri"/>
        </w:rPr>
      </w:pPr>
      <w:r w:rsidRPr="006E0AFE">
        <w:rPr>
          <w:rFonts w:eastAsia="Calibri"/>
        </w:rPr>
        <w:t>Kod Dječjeg vrtića Matulji</w:t>
      </w:r>
      <w:r w:rsidR="00F03530" w:rsidRPr="006E0AFE">
        <w:rPr>
          <w:rFonts w:eastAsia="Calibri"/>
        </w:rPr>
        <w:t xml:space="preserve"> učešće Općine u rashodima ustanove povećava se u odnosu na 2020. godinu za </w:t>
      </w:r>
      <w:r w:rsidR="00503E30" w:rsidRPr="006E0AFE">
        <w:rPr>
          <w:rFonts w:eastAsia="Calibri"/>
        </w:rPr>
        <w:t>1,</w:t>
      </w:r>
      <w:r w:rsidR="003604FA" w:rsidRPr="006E0AFE">
        <w:rPr>
          <w:rFonts w:eastAsia="Calibri"/>
        </w:rPr>
        <w:t>58</w:t>
      </w:r>
      <w:r w:rsidR="00F03530" w:rsidRPr="006E0AFE">
        <w:rPr>
          <w:rFonts w:eastAsia="Calibri"/>
        </w:rPr>
        <w:t xml:space="preserve">% </w:t>
      </w:r>
      <w:r w:rsidR="003604FA" w:rsidRPr="006E0AFE">
        <w:rPr>
          <w:rFonts w:eastAsia="Calibri"/>
        </w:rPr>
        <w:t>dok u apsolutnom iznosu povećava za 431.599 kuna. Navedeno leži u</w:t>
      </w:r>
      <w:r w:rsidR="003604FA" w:rsidRPr="006E0AFE">
        <w:rPr>
          <w:rFonts w:eastAsia="Calibri"/>
          <w:color w:val="FF0000"/>
        </w:rPr>
        <w:t xml:space="preserve"> </w:t>
      </w:r>
      <w:r w:rsidR="007F19FA" w:rsidRPr="002C5960">
        <w:rPr>
          <w:rFonts w:eastAsia="Calibri"/>
        </w:rPr>
        <w:t>činjenici</w:t>
      </w:r>
      <w:r w:rsidR="007F19FA" w:rsidRPr="006E0AFE">
        <w:rPr>
          <w:rFonts w:eastAsia="Calibri"/>
        </w:rPr>
        <w:t xml:space="preserve"> </w:t>
      </w:r>
      <w:r w:rsidR="00F03530" w:rsidRPr="006E0AFE">
        <w:rPr>
          <w:rFonts w:eastAsia="Calibri"/>
        </w:rPr>
        <w:t xml:space="preserve">da se Projekt Smjenski rad nastavlja bez financiranja iz EU jer ugovoreno financiranje istječe u </w:t>
      </w:r>
      <w:r w:rsidR="007F19FA" w:rsidRPr="006E0AFE">
        <w:rPr>
          <w:rFonts w:eastAsia="Calibri"/>
        </w:rPr>
        <w:t xml:space="preserve">mjesecu </w:t>
      </w:r>
      <w:r w:rsidR="00F03530" w:rsidRPr="006E0AFE">
        <w:rPr>
          <w:rFonts w:eastAsia="Calibri"/>
        </w:rPr>
        <w:t>ožujku 2021. godine.</w:t>
      </w:r>
      <w:r w:rsidR="003604FA" w:rsidRPr="006E0AFE">
        <w:rPr>
          <w:rFonts w:eastAsia="Calibri"/>
        </w:rPr>
        <w:t xml:space="preserve"> U sklopu tog projekta sufinanciran je dio rashoda poslovanja koji se odnosi i </w:t>
      </w:r>
      <w:r w:rsidR="007F19FA" w:rsidRPr="006E0AFE">
        <w:rPr>
          <w:rFonts w:eastAsia="Calibri"/>
        </w:rPr>
        <w:t xml:space="preserve">na </w:t>
      </w:r>
      <w:r w:rsidR="003604FA" w:rsidRPr="006E0AFE">
        <w:rPr>
          <w:rFonts w:eastAsia="Calibri"/>
        </w:rPr>
        <w:t>plaće djelatnika od ranije zaposlenih u vrtiću što je u bitnome doprinijelo da su za vrijeme trajanja projekta izdvajanja Općine bila niža.</w:t>
      </w:r>
      <w:r w:rsidR="00F03530" w:rsidRPr="006E0AFE">
        <w:rPr>
          <w:rFonts w:eastAsia="Calibri"/>
        </w:rPr>
        <w:t xml:space="preserve"> Međutim, Općina i Dječji vrtić očekuju da će se raspisati novi natječaj za sufinanciranje na koji se planira aplicirati te time, ako se odobri, rasteretiti proračunske prihode</w:t>
      </w:r>
      <w:r w:rsidR="003604FA" w:rsidRPr="006E0AFE">
        <w:rPr>
          <w:rFonts w:eastAsia="Calibri"/>
        </w:rPr>
        <w:t>. S druge strane treba biti nažalost spreman i na povećanje izdvajanja Općine ako se ponovi 2020.</w:t>
      </w:r>
      <w:r w:rsidR="007F19FA" w:rsidRPr="006E0AFE">
        <w:rPr>
          <w:rFonts w:eastAsia="Calibri"/>
        </w:rPr>
        <w:t xml:space="preserve"> </w:t>
      </w:r>
      <w:r w:rsidR="003604FA" w:rsidRPr="006E0AFE">
        <w:rPr>
          <w:rFonts w:eastAsia="Calibri"/>
        </w:rPr>
        <w:t>godina te uslijed posebnih okolnosti vlastiti prihodi budu niži.</w:t>
      </w:r>
    </w:p>
    <w:p w14:paraId="5D62CF13" w14:textId="77777777" w:rsidR="002A1EDD" w:rsidRDefault="002A1EDD" w:rsidP="00A31DD1">
      <w:pPr>
        <w:jc w:val="both"/>
        <w:rPr>
          <w:lang w:eastAsia="en-US"/>
        </w:rPr>
      </w:pPr>
    </w:p>
    <w:p w14:paraId="09350B3C" w14:textId="5FB5B3E4" w:rsidR="00DF228A" w:rsidRDefault="007071A1" w:rsidP="00A31DD1">
      <w:pPr>
        <w:jc w:val="both"/>
        <w:rPr>
          <w:lang w:eastAsia="en-US"/>
        </w:rPr>
      </w:pPr>
      <w:r w:rsidRPr="006E0AFE">
        <w:rPr>
          <w:lang w:eastAsia="en-US"/>
        </w:rPr>
        <w:t xml:space="preserve">U </w:t>
      </w:r>
      <w:r w:rsidRPr="006E0AFE">
        <w:rPr>
          <w:b/>
          <w:lang w:eastAsia="en-US"/>
        </w:rPr>
        <w:t>projekciji za 2022. i 2023</w:t>
      </w:r>
      <w:r w:rsidRPr="006E0AFE">
        <w:rPr>
          <w:lang w:eastAsia="en-US"/>
        </w:rPr>
        <w:t>. godinu prihodi proračunskih korisnika planirani su na osnovi njihovih financijskih planova, na razini 2021.</w:t>
      </w:r>
      <w:r w:rsidR="007F19FA" w:rsidRPr="006E0AFE">
        <w:rPr>
          <w:lang w:eastAsia="en-US"/>
        </w:rPr>
        <w:t xml:space="preserve"> </w:t>
      </w:r>
      <w:r w:rsidRPr="006E0AFE">
        <w:rPr>
          <w:lang w:eastAsia="en-US"/>
        </w:rPr>
        <w:t>godine.</w:t>
      </w:r>
    </w:p>
    <w:p w14:paraId="7E8A70FC" w14:textId="77777777" w:rsidR="00B16C87" w:rsidRPr="006E0AFE" w:rsidRDefault="00B16C87" w:rsidP="00A31DD1">
      <w:pPr>
        <w:jc w:val="both"/>
        <w:rPr>
          <w:sz w:val="22"/>
          <w:szCs w:val="22"/>
          <w:highlight w:val="yellow"/>
          <w:lang w:eastAsia="en-US"/>
        </w:rPr>
      </w:pPr>
    </w:p>
    <w:p w14:paraId="201D684A" w14:textId="77777777" w:rsidR="007355FC" w:rsidRPr="006E0AFE" w:rsidRDefault="007355FC" w:rsidP="00845F5B">
      <w:pPr>
        <w:numPr>
          <w:ilvl w:val="0"/>
          <w:numId w:val="4"/>
        </w:numPr>
        <w:jc w:val="both"/>
        <w:rPr>
          <w:b/>
          <w:bCs/>
          <w:i/>
          <w:iCs/>
          <w:u w:val="single"/>
          <w:lang w:eastAsia="en-US"/>
        </w:rPr>
      </w:pPr>
      <w:r w:rsidRPr="006E0AFE">
        <w:rPr>
          <w:b/>
          <w:bCs/>
          <w:i/>
          <w:iCs/>
          <w:u w:val="single"/>
          <w:lang w:eastAsia="en-US"/>
        </w:rPr>
        <w:t>PRIHODI OD PRODAJE NEFINANCIJSKE IMOVINE</w:t>
      </w:r>
    </w:p>
    <w:p w14:paraId="2336925C" w14:textId="77777777" w:rsidR="007355FC" w:rsidRPr="006E0AFE" w:rsidRDefault="007355FC" w:rsidP="007355FC">
      <w:pPr>
        <w:ind w:left="720"/>
        <w:jc w:val="both"/>
        <w:rPr>
          <w:b/>
          <w:sz w:val="22"/>
          <w:szCs w:val="22"/>
          <w:u w:val="single"/>
          <w:lang w:eastAsia="en-US"/>
        </w:rPr>
      </w:pPr>
    </w:p>
    <w:p w14:paraId="7F99A517" w14:textId="77777777" w:rsidR="001B763A" w:rsidRPr="006E0AFE" w:rsidRDefault="00A31DD1" w:rsidP="007355FC">
      <w:pPr>
        <w:jc w:val="both"/>
        <w:rPr>
          <w:lang w:eastAsia="en-US"/>
        </w:rPr>
      </w:pPr>
      <w:r w:rsidRPr="006E0AFE">
        <w:rPr>
          <w:b/>
          <w:u w:val="single"/>
          <w:lang w:eastAsia="en-US"/>
        </w:rPr>
        <w:t>Prihode od prodaje nefinanci</w:t>
      </w:r>
      <w:r w:rsidR="00B94BCF" w:rsidRPr="006E0AFE">
        <w:rPr>
          <w:b/>
          <w:u w:val="single"/>
          <w:lang w:eastAsia="en-US"/>
        </w:rPr>
        <w:t xml:space="preserve">jske imovine </w:t>
      </w:r>
      <w:r w:rsidRPr="006E0AFE">
        <w:rPr>
          <w:b/>
          <w:u w:val="single"/>
          <w:lang w:eastAsia="en-US"/>
        </w:rPr>
        <w:t>čin</w:t>
      </w:r>
      <w:r w:rsidR="00B94BCF" w:rsidRPr="006E0AFE">
        <w:rPr>
          <w:b/>
          <w:u w:val="single"/>
          <w:lang w:eastAsia="en-US"/>
        </w:rPr>
        <w:t>e</w:t>
      </w:r>
      <w:r w:rsidR="007355FC" w:rsidRPr="006E0AFE">
        <w:rPr>
          <w:lang w:eastAsia="en-US"/>
        </w:rPr>
        <w:t xml:space="preserve"> </w:t>
      </w:r>
      <w:r w:rsidRPr="006E0AFE">
        <w:rPr>
          <w:lang w:eastAsia="en-US"/>
        </w:rPr>
        <w:t>Prihodi od prodaje zemljišta, stambenih ili poslovnih objekata, prijevoznih sredstava i drugih oblika nefinancijske imovine</w:t>
      </w:r>
      <w:r w:rsidR="001B763A" w:rsidRPr="006E0AFE">
        <w:rPr>
          <w:lang w:eastAsia="en-US"/>
        </w:rPr>
        <w:t>, a planirani su kako slijedi</w:t>
      </w:r>
      <w:r w:rsidR="00AB5931" w:rsidRPr="006E0AFE">
        <w:rPr>
          <w:lang w:eastAsia="en-US"/>
        </w:rPr>
        <w:t>:</w:t>
      </w:r>
    </w:p>
    <w:p w14:paraId="445F631C" w14:textId="77777777" w:rsidR="00AB5931" w:rsidRPr="006E0AFE" w:rsidRDefault="00AB5931" w:rsidP="007355FC">
      <w:pPr>
        <w:jc w:val="both"/>
        <w:rPr>
          <w:lang w:eastAsia="en-US"/>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460"/>
        <w:gridCol w:w="1465"/>
        <w:gridCol w:w="1185"/>
        <w:gridCol w:w="1526"/>
        <w:gridCol w:w="1415"/>
      </w:tblGrid>
      <w:tr w:rsidR="001B763A" w:rsidRPr="006E0AFE" w14:paraId="4FFF7BF4" w14:textId="77777777" w:rsidTr="00536FDC">
        <w:trPr>
          <w:trHeight w:val="264"/>
          <w:jc w:val="center"/>
        </w:trPr>
        <w:tc>
          <w:tcPr>
            <w:tcW w:w="3545" w:type="dxa"/>
            <w:vMerge w:val="restart"/>
            <w:shd w:val="clear" w:color="auto" w:fill="auto"/>
            <w:noWrap/>
            <w:vAlign w:val="center"/>
            <w:hideMark/>
          </w:tcPr>
          <w:p w14:paraId="1A69F779" w14:textId="77777777" w:rsidR="001B763A" w:rsidRPr="006E0AFE" w:rsidRDefault="001B763A" w:rsidP="001B763A">
            <w:pPr>
              <w:jc w:val="center"/>
              <w:rPr>
                <w:sz w:val="22"/>
                <w:szCs w:val="22"/>
                <w:lang w:val="en-GB" w:eastAsia="en-GB"/>
              </w:rPr>
            </w:pPr>
            <w:r w:rsidRPr="006E0AFE">
              <w:rPr>
                <w:b/>
                <w:bCs/>
                <w:color w:val="000000"/>
                <w:sz w:val="22"/>
                <w:szCs w:val="22"/>
              </w:rPr>
              <w:t>PRIHODI OD PRODAJE NEFINANCIJSKE IMOVINE</w:t>
            </w:r>
            <w:r w:rsidR="00100CD2" w:rsidRPr="006E0AFE">
              <w:rPr>
                <w:b/>
                <w:bCs/>
                <w:color w:val="000000"/>
                <w:sz w:val="22"/>
                <w:szCs w:val="22"/>
              </w:rPr>
              <w:t xml:space="preserve"> (7)</w:t>
            </w:r>
          </w:p>
        </w:tc>
        <w:tc>
          <w:tcPr>
            <w:tcW w:w="1460" w:type="dxa"/>
            <w:shd w:val="clear" w:color="auto" w:fill="auto"/>
            <w:noWrap/>
            <w:vAlign w:val="center"/>
            <w:hideMark/>
          </w:tcPr>
          <w:p w14:paraId="6E47AFAD" w14:textId="77777777" w:rsidR="001B763A" w:rsidRPr="006E0AFE" w:rsidRDefault="001B763A" w:rsidP="001B763A">
            <w:pPr>
              <w:jc w:val="center"/>
              <w:rPr>
                <w:sz w:val="22"/>
                <w:szCs w:val="22"/>
              </w:rPr>
            </w:pPr>
            <w:r w:rsidRPr="006E0AFE">
              <w:rPr>
                <w:sz w:val="22"/>
                <w:szCs w:val="22"/>
              </w:rPr>
              <w:t>PRORAČUN</w:t>
            </w:r>
          </w:p>
        </w:tc>
        <w:tc>
          <w:tcPr>
            <w:tcW w:w="1465" w:type="dxa"/>
            <w:shd w:val="clear" w:color="auto" w:fill="auto"/>
            <w:noWrap/>
            <w:vAlign w:val="center"/>
            <w:hideMark/>
          </w:tcPr>
          <w:p w14:paraId="4F2B6E11" w14:textId="77777777" w:rsidR="001B763A" w:rsidRPr="006E0AFE" w:rsidRDefault="001B763A" w:rsidP="001B763A">
            <w:pPr>
              <w:jc w:val="center"/>
              <w:rPr>
                <w:sz w:val="22"/>
                <w:szCs w:val="22"/>
              </w:rPr>
            </w:pPr>
            <w:r w:rsidRPr="006E0AFE">
              <w:rPr>
                <w:sz w:val="22"/>
                <w:szCs w:val="22"/>
              </w:rPr>
              <w:t xml:space="preserve">PRORAČUN </w:t>
            </w:r>
          </w:p>
        </w:tc>
        <w:tc>
          <w:tcPr>
            <w:tcW w:w="1185" w:type="dxa"/>
            <w:shd w:val="clear" w:color="auto" w:fill="auto"/>
            <w:noWrap/>
            <w:vAlign w:val="center"/>
            <w:hideMark/>
          </w:tcPr>
          <w:p w14:paraId="502A6382" w14:textId="77777777" w:rsidR="001B763A" w:rsidRPr="006E0AFE" w:rsidRDefault="005E5FFD" w:rsidP="001B763A">
            <w:pPr>
              <w:jc w:val="center"/>
              <w:rPr>
                <w:sz w:val="22"/>
                <w:szCs w:val="22"/>
              </w:rPr>
            </w:pPr>
            <w:r w:rsidRPr="006E0AFE">
              <w:rPr>
                <w:sz w:val="22"/>
                <w:szCs w:val="22"/>
              </w:rPr>
              <w:t>INDEKS</w:t>
            </w:r>
          </w:p>
        </w:tc>
        <w:tc>
          <w:tcPr>
            <w:tcW w:w="1526" w:type="dxa"/>
            <w:shd w:val="clear" w:color="auto" w:fill="auto"/>
            <w:vAlign w:val="center"/>
          </w:tcPr>
          <w:p w14:paraId="05384A32" w14:textId="77777777" w:rsidR="001B763A" w:rsidRPr="006E0AFE" w:rsidRDefault="001B763A" w:rsidP="001B763A">
            <w:pPr>
              <w:jc w:val="center"/>
              <w:rPr>
                <w:sz w:val="22"/>
                <w:szCs w:val="22"/>
              </w:rPr>
            </w:pPr>
            <w:r w:rsidRPr="006E0AFE">
              <w:rPr>
                <w:sz w:val="22"/>
                <w:szCs w:val="22"/>
              </w:rPr>
              <w:t xml:space="preserve">PRORAČUN </w:t>
            </w:r>
          </w:p>
        </w:tc>
        <w:tc>
          <w:tcPr>
            <w:tcW w:w="1415" w:type="dxa"/>
            <w:shd w:val="clear" w:color="auto" w:fill="auto"/>
            <w:vAlign w:val="center"/>
          </w:tcPr>
          <w:p w14:paraId="5B831D14" w14:textId="77777777" w:rsidR="001B763A" w:rsidRPr="006E0AFE" w:rsidRDefault="001B763A" w:rsidP="001B763A">
            <w:pPr>
              <w:jc w:val="center"/>
              <w:rPr>
                <w:sz w:val="22"/>
                <w:szCs w:val="22"/>
              </w:rPr>
            </w:pPr>
            <w:r w:rsidRPr="006E0AFE">
              <w:rPr>
                <w:sz w:val="22"/>
                <w:szCs w:val="22"/>
              </w:rPr>
              <w:t xml:space="preserve">PRORAČUN </w:t>
            </w:r>
          </w:p>
        </w:tc>
      </w:tr>
      <w:tr w:rsidR="001B763A" w:rsidRPr="006E0AFE" w14:paraId="41CC78F6" w14:textId="77777777" w:rsidTr="00536FDC">
        <w:trPr>
          <w:trHeight w:val="264"/>
          <w:jc w:val="center"/>
        </w:trPr>
        <w:tc>
          <w:tcPr>
            <w:tcW w:w="3545" w:type="dxa"/>
            <w:vMerge/>
            <w:shd w:val="clear" w:color="auto" w:fill="auto"/>
            <w:noWrap/>
            <w:vAlign w:val="center"/>
            <w:hideMark/>
          </w:tcPr>
          <w:p w14:paraId="17432ADE" w14:textId="77777777" w:rsidR="001B763A" w:rsidRPr="006E0AFE" w:rsidRDefault="001B763A" w:rsidP="001B763A">
            <w:pPr>
              <w:jc w:val="center"/>
              <w:rPr>
                <w:sz w:val="22"/>
                <w:szCs w:val="22"/>
              </w:rPr>
            </w:pPr>
          </w:p>
        </w:tc>
        <w:tc>
          <w:tcPr>
            <w:tcW w:w="1460" w:type="dxa"/>
            <w:shd w:val="clear" w:color="auto" w:fill="auto"/>
            <w:noWrap/>
            <w:vAlign w:val="center"/>
            <w:hideMark/>
          </w:tcPr>
          <w:p w14:paraId="06D0375B" w14:textId="77777777" w:rsidR="001B763A" w:rsidRPr="006E0AFE" w:rsidRDefault="00055F66" w:rsidP="001B763A">
            <w:pPr>
              <w:jc w:val="center"/>
              <w:rPr>
                <w:sz w:val="22"/>
                <w:szCs w:val="22"/>
              </w:rPr>
            </w:pPr>
            <w:r w:rsidRPr="006E0AFE">
              <w:rPr>
                <w:sz w:val="22"/>
                <w:szCs w:val="22"/>
              </w:rPr>
              <w:t>2020</w:t>
            </w:r>
          </w:p>
        </w:tc>
        <w:tc>
          <w:tcPr>
            <w:tcW w:w="1465" w:type="dxa"/>
            <w:shd w:val="clear" w:color="auto" w:fill="auto"/>
            <w:noWrap/>
            <w:vAlign w:val="center"/>
            <w:hideMark/>
          </w:tcPr>
          <w:p w14:paraId="7CE85414" w14:textId="77777777" w:rsidR="001B763A" w:rsidRPr="006E0AFE" w:rsidRDefault="00055F66" w:rsidP="001B763A">
            <w:pPr>
              <w:jc w:val="center"/>
              <w:rPr>
                <w:sz w:val="22"/>
                <w:szCs w:val="22"/>
              </w:rPr>
            </w:pPr>
            <w:r w:rsidRPr="006E0AFE">
              <w:rPr>
                <w:sz w:val="22"/>
                <w:szCs w:val="22"/>
              </w:rPr>
              <w:t>2021</w:t>
            </w:r>
          </w:p>
        </w:tc>
        <w:tc>
          <w:tcPr>
            <w:tcW w:w="1185" w:type="dxa"/>
            <w:shd w:val="clear" w:color="auto" w:fill="auto"/>
            <w:noWrap/>
            <w:vAlign w:val="center"/>
            <w:hideMark/>
          </w:tcPr>
          <w:p w14:paraId="77EE820B" w14:textId="77777777" w:rsidR="001B763A" w:rsidRPr="006E0AFE" w:rsidRDefault="00055F66" w:rsidP="001B763A">
            <w:pPr>
              <w:jc w:val="center"/>
              <w:rPr>
                <w:sz w:val="22"/>
                <w:szCs w:val="22"/>
              </w:rPr>
            </w:pPr>
            <w:r w:rsidRPr="006E0AFE">
              <w:rPr>
                <w:sz w:val="22"/>
                <w:szCs w:val="22"/>
              </w:rPr>
              <w:t>2021</w:t>
            </w:r>
            <w:r w:rsidR="005E5FFD" w:rsidRPr="006E0AFE">
              <w:rPr>
                <w:sz w:val="22"/>
                <w:szCs w:val="22"/>
              </w:rPr>
              <w:t>/</w:t>
            </w:r>
            <w:r w:rsidRPr="006E0AFE">
              <w:rPr>
                <w:sz w:val="22"/>
                <w:szCs w:val="22"/>
              </w:rPr>
              <w:t>2020</w:t>
            </w:r>
          </w:p>
        </w:tc>
        <w:tc>
          <w:tcPr>
            <w:tcW w:w="1526" w:type="dxa"/>
            <w:shd w:val="clear" w:color="auto" w:fill="auto"/>
            <w:vAlign w:val="center"/>
          </w:tcPr>
          <w:p w14:paraId="13FFC6BA" w14:textId="77777777" w:rsidR="001B763A" w:rsidRPr="006E0AFE" w:rsidRDefault="00055F66" w:rsidP="001B763A">
            <w:pPr>
              <w:jc w:val="center"/>
              <w:rPr>
                <w:sz w:val="22"/>
                <w:szCs w:val="22"/>
              </w:rPr>
            </w:pPr>
            <w:r w:rsidRPr="006E0AFE">
              <w:rPr>
                <w:sz w:val="22"/>
                <w:szCs w:val="22"/>
              </w:rPr>
              <w:t>2022</w:t>
            </w:r>
          </w:p>
        </w:tc>
        <w:tc>
          <w:tcPr>
            <w:tcW w:w="1415" w:type="dxa"/>
            <w:shd w:val="clear" w:color="auto" w:fill="auto"/>
            <w:vAlign w:val="center"/>
          </w:tcPr>
          <w:p w14:paraId="5677823E" w14:textId="77777777" w:rsidR="001B763A" w:rsidRPr="006E0AFE" w:rsidRDefault="00055F66" w:rsidP="001B763A">
            <w:pPr>
              <w:jc w:val="center"/>
              <w:rPr>
                <w:sz w:val="22"/>
                <w:szCs w:val="22"/>
              </w:rPr>
            </w:pPr>
            <w:r w:rsidRPr="006E0AFE">
              <w:rPr>
                <w:sz w:val="22"/>
                <w:szCs w:val="22"/>
              </w:rPr>
              <w:t>2023</w:t>
            </w:r>
          </w:p>
        </w:tc>
      </w:tr>
      <w:tr w:rsidR="001B763A" w:rsidRPr="006E0AFE" w14:paraId="579F1D64" w14:textId="77777777" w:rsidTr="00536FDC">
        <w:trPr>
          <w:trHeight w:val="288"/>
          <w:jc w:val="center"/>
        </w:trPr>
        <w:tc>
          <w:tcPr>
            <w:tcW w:w="3545" w:type="dxa"/>
            <w:shd w:val="clear" w:color="auto" w:fill="auto"/>
            <w:vAlign w:val="center"/>
            <w:hideMark/>
          </w:tcPr>
          <w:p w14:paraId="5C49598B" w14:textId="77777777" w:rsidR="001B763A" w:rsidRPr="006E0AFE" w:rsidRDefault="001B763A" w:rsidP="001B763A">
            <w:pPr>
              <w:jc w:val="center"/>
              <w:rPr>
                <w:b/>
                <w:bCs/>
                <w:color w:val="000000"/>
                <w:sz w:val="22"/>
                <w:szCs w:val="22"/>
              </w:rPr>
            </w:pPr>
            <w:r w:rsidRPr="006E0AFE">
              <w:rPr>
                <w:b/>
                <w:bCs/>
                <w:color w:val="000000"/>
                <w:sz w:val="22"/>
                <w:szCs w:val="22"/>
              </w:rPr>
              <w:t>UKUPNO</w:t>
            </w:r>
          </w:p>
        </w:tc>
        <w:tc>
          <w:tcPr>
            <w:tcW w:w="1460" w:type="dxa"/>
            <w:shd w:val="clear" w:color="auto" w:fill="auto"/>
            <w:hideMark/>
          </w:tcPr>
          <w:p w14:paraId="04FD2415" w14:textId="77777777" w:rsidR="001B763A" w:rsidRPr="006E0AFE" w:rsidRDefault="00B94BCF" w:rsidP="001B763A">
            <w:pPr>
              <w:jc w:val="center"/>
            </w:pPr>
            <w:r w:rsidRPr="006E0AFE">
              <w:t>6.662.064</w:t>
            </w:r>
          </w:p>
        </w:tc>
        <w:tc>
          <w:tcPr>
            <w:tcW w:w="1465" w:type="dxa"/>
            <w:shd w:val="clear" w:color="auto" w:fill="auto"/>
            <w:hideMark/>
          </w:tcPr>
          <w:p w14:paraId="7E5DF365" w14:textId="77777777" w:rsidR="001B763A" w:rsidRPr="006E0AFE" w:rsidRDefault="00B94BCF" w:rsidP="00B94BCF">
            <w:pPr>
              <w:jc w:val="center"/>
            </w:pPr>
            <w:r w:rsidRPr="006E0AFE">
              <w:t>4.000.000</w:t>
            </w:r>
          </w:p>
        </w:tc>
        <w:tc>
          <w:tcPr>
            <w:tcW w:w="1185" w:type="dxa"/>
            <w:shd w:val="clear" w:color="auto" w:fill="auto"/>
            <w:hideMark/>
          </w:tcPr>
          <w:p w14:paraId="754F6B9D" w14:textId="77777777" w:rsidR="001B763A" w:rsidRPr="006E0AFE" w:rsidRDefault="00B94BCF" w:rsidP="00B94BCF">
            <w:pPr>
              <w:jc w:val="center"/>
            </w:pPr>
            <w:r w:rsidRPr="006E0AFE">
              <w:t>60,04%</w:t>
            </w:r>
          </w:p>
        </w:tc>
        <w:tc>
          <w:tcPr>
            <w:tcW w:w="1526" w:type="dxa"/>
          </w:tcPr>
          <w:p w14:paraId="02E0650B" w14:textId="77777777" w:rsidR="001B763A" w:rsidRPr="006E0AFE" w:rsidRDefault="00B94BCF" w:rsidP="00B94BCF">
            <w:pPr>
              <w:jc w:val="center"/>
            </w:pPr>
            <w:r w:rsidRPr="006E0AFE">
              <w:t>14.000.000</w:t>
            </w:r>
          </w:p>
        </w:tc>
        <w:tc>
          <w:tcPr>
            <w:tcW w:w="1415" w:type="dxa"/>
          </w:tcPr>
          <w:p w14:paraId="759105F9" w14:textId="77777777" w:rsidR="001B763A" w:rsidRPr="006E0AFE" w:rsidRDefault="00B94BCF" w:rsidP="00B94BCF">
            <w:pPr>
              <w:jc w:val="center"/>
            </w:pPr>
            <w:r w:rsidRPr="006E0AFE">
              <w:t>14.</w:t>
            </w:r>
            <w:r w:rsidR="001B763A" w:rsidRPr="006E0AFE">
              <w:t>00</w:t>
            </w:r>
            <w:r w:rsidRPr="006E0AFE">
              <w:t>0.</w:t>
            </w:r>
            <w:r w:rsidR="001B763A" w:rsidRPr="006E0AFE">
              <w:t>000</w:t>
            </w:r>
          </w:p>
        </w:tc>
      </w:tr>
    </w:tbl>
    <w:p w14:paraId="0E376085" w14:textId="77777777" w:rsidR="00536FDC" w:rsidRPr="006E0AFE" w:rsidRDefault="00536FDC" w:rsidP="007355FC">
      <w:pPr>
        <w:jc w:val="both"/>
        <w:rPr>
          <w:b/>
          <w:highlight w:val="yellow"/>
          <w:lang w:eastAsia="en-US"/>
        </w:rPr>
      </w:pPr>
    </w:p>
    <w:p w14:paraId="7D7E83F6" w14:textId="77777777" w:rsidR="00344DC3" w:rsidRPr="006E0AFE" w:rsidRDefault="00A31DD1" w:rsidP="007355FC">
      <w:pPr>
        <w:jc w:val="both"/>
        <w:rPr>
          <w:lang w:eastAsia="en-US"/>
        </w:rPr>
      </w:pPr>
      <w:r w:rsidRPr="006E0AFE">
        <w:rPr>
          <w:b/>
          <w:lang w:eastAsia="en-US"/>
        </w:rPr>
        <w:t>Prihodi od prodaje imovine</w:t>
      </w:r>
      <w:r w:rsidRPr="006E0AFE">
        <w:rPr>
          <w:lang w:eastAsia="en-US"/>
        </w:rPr>
        <w:t xml:space="preserve"> </w:t>
      </w:r>
      <w:r w:rsidRPr="006E0AFE">
        <w:rPr>
          <w:b/>
          <w:lang w:eastAsia="en-US"/>
        </w:rPr>
        <w:t>planiran</w:t>
      </w:r>
      <w:r w:rsidR="00B94BCF" w:rsidRPr="006E0AFE">
        <w:rPr>
          <w:b/>
          <w:lang w:eastAsia="en-US"/>
        </w:rPr>
        <w:t>i</w:t>
      </w:r>
      <w:r w:rsidRPr="006E0AFE">
        <w:rPr>
          <w:b/>
          <w:lang w:eastAsia="en-US"/>
        </w:rPr>
        <w:t xml:space="preserve"> za </w:t>
      </w:r>
      <w:r w:rsidR="00055F66" w:rsidRPr="006E0AFE">
        <w:rPr>
          <w:b/>
          <w:lang w:eastAsia="en-US"/>
        </w:rPr>
        <w:t>2021</w:t>
      </w:r>
      <w:r w:rsidRPr="006E0AFE">
        <w:rPr>
          <w:b/>
          <w:lang w:eastAsia="en-US"/>
        </w:rPr>
        <w:t>.</w:t>
      </w:r>
      <w:r w:rsidR="00B94BCF" w:rsidRPr="006E0AFE">
        <w:rPr>
          <w:b/>
          <w:lang w:eastAsia="en-US"/>
        </w:rPr>
        <w:t xml:space="preserve"> </w:t>
      </w:r>
      <w:r w:rsidRPr="006E0AFE">
        <w:rPr>
          <w:b/>
          <w:lang w:eastAsia="en-US"/>
        </w:rPr>
        <w:t>godinu</w:t>
      </w:r>
      <w:r w:rsidRPr="006E0AFE">
        <w:rPr>
          <w:lang w:eastAsia="en-US"/>
        </w:rPr>
        <w:t xml:space="preserve"> </w:t>
      </w:r>
      <w:r w:rsidR="00B94BCF" w:rsidRPr="006E0AFE">
        <w:rPr>
          <w:lang w:eastAsia="en-US"/>
        </w:rPr>
        <w:t>niži</w:t>
      </w:r>
      <w:r w:rsidRPr="006E0AFE">
        <w:rPr>
          <w:lang w:eastAsia="en-US"/>
        </w:rPr>
        <w:t xml:space="preserve"> </w:t>
      </w:r>
      <w:r w:rsidR="00B94BCF" w:rsidRPr="006E0AFE">
        <w:rPr>
          <w:lang w:eastAsia="en-US"/>
        </w:rPr>
        <w:t xml:space="preserve">su </w:t>
      </w:r>
      <w:r w:rsidRPr="006E0AFE">
        <w:rPr>
          <w:lang w:eastAsia="en-US"/>
        </w:rPr>
        <w:t xml:space="preserve">u odnosu na </w:t>
      </w:r>
      <w:r w:rsidR="00055F66" w:rsidRPr="006E0AFE">
        <w:rPr>
          <w:lang w:eastAsia="en-US"/>
        </w:rPr>
        <w:t>2020</w:t>
      </w:r>
      <w:r w:rsidRPr="006E0AFE">
        <w:rPr>
          <w:lang w:eastAsia="en-US"/>
        </w:rPr>
        <w:t>.</w:t>
      </w:r>
      <w:r w:rsidR="00B94BCF" w:rsidRPr="006E0AFE">
        <w:rPr>
          <w:lang w:eastAsia="en-US"/>
        </w:rPr>
        <w:t xml:space="preserve"> </w:t>
      </w:r>
      <w:r w:rsidRPr="006E0AFE">
        <w:rPr>
          <w:lang w:eastAsia="en-US"/>
        </w:rPr>
        <w:t>godinu (</w:t>
      </w:r>
      <w:r w:rsidR="00B94BCF" w:rsidRPr="006E0AFE">
        <w:rPr>
          <w:lang w:eastAsia="en-US"/>
        </w:rPr>
        <w:t>-60,04</w:t>
      </w:r>
      <w:r w:rsidRPr="006E0AFE">
        <w:rPr>
          <w:lang w:eastAsia="en-US"/>
        </w:rPr>
        <w:t>%)</w:t>
      </w:r>
      <w:r w:rsidR="00EA31D1" w:rsidRPr="006E0AFE">
        <w:rPr>
          <w:lang w:eastAsia="en-US"/>
        </w:rPr>
        <w:t>, a t</w:t>
      </w:r>
      <w:r w:rsidRPr="006E0AFE">
        <w:rPr>
          <w:lang w:eastAsia="en-US"/>
        </w:rPr>
        <w:t>emelj</w:t>
      </w:r>
      <w:r w:rsidR="00EA31D1" w:rsidRPr="006E0AFE">
        <w:rPr>
          <w:lang w:eastAsia="en-US"/>
        </w:rPr>
        <w:t>e</w:t>
      </w:r>
      <w:r w:rsidRPr="006E0AFE">
        <w:rPr>
          <w:lang w:eastAsia="en-US"/>
        </w:rPr>
        <w:t xml:space="preserve"> se na </w:t>
      </w:r>
      <w:r w:rsidR="00EA31D1" w:rsidRPr="006E0AFE">
        <w:rPr>
          <w:lang w:eastAsia="en-US"/>
        </w:rPr>
        <w:t xml:space="preserve">planiranim te </w:t>
      </w:r>
      <w:r w:rsidRPr="006E0AFE">
        <w:rPr>
          <w:lang w:eastAsia="en-US"/>
        </w:rPr>
        <w:t>izrađenim procjenama vrijednosti nekretnina</w:t>
      </w:r>
      <w:r w:rsidR="00EA31D1" w:rsidRPr="006E0AFE">
        <w:rPr>
          <w:lang w:eastAsia="en-US"/>
        </w:rPr>
        <w:t xml:space="preserve"> koje su namijenjene</w:t>
      </w:r>
      <w:r w:rsidRPr="006E0AFE">
        <w:rPr>
          <w:lang w:eastAsia="en-US"/>
        </w:rPr>
        <w:t xml:space="preserve"> prodaj</w:t>
      </w:r>
      <w:r w:rsidR="00EA31D1" w:rsidRPr="006E0AFE">
        <w:rPr>
          <w:lang w:eastAsia="en-US"/>
        </w:rPr>
        <w:t>i</w:t>
      </w:r>
      <w:r w:rsidRPr="006E0AFE">
        <w:rPr>
          <w:lang w:eastAsia="en-US"/>
        </w:rPr>
        <w:t xml:space="preserve"> </w:t>
      </w:r>
      <w:r w:rsidR="00800A92" w:rsidRPr="006E0AFE">
        <w:rPr>
          <w:lang w:eastAsia="en-US"/>
        </w:rPr>
        <w:t>ili za koje se iskaže</w:t>
      </w:r>
      <w:r w:rsidRPr="006E0AFE">
        <w:rPr>
          <w:lang w:eastAsia="en-US"/>
        </w:rPr>
        <w:t xml:space="preserve"> interes, </w:t>
      </w:r>
      <w:r w:rsidR="00EA31D1" w:rsidRPr="006E0AFE">
        <w:rPr>
          <w:lang w:eastAsia="en-US"/>
        </w:rPr>
        <w:t>odnosno za</w:t>
      </w:r>
      <w:r w:rsidRPr="006E0AFE">
        <w:rPr>
          <w:lang w:eastAsia="en-US"/>
        </w:rPr>
        <w:t xml:space="preserve"> nekretnin</w:t>
      </w:r>
      <w:r w:rsidR="00EA31D1" w:rsidRPr="006E0AFE">
        <w:rPr>
          <w:lang w:eastAsia="en-US"/>
        </w:rPr>
        <w:t>e</w:t>
      </w:r>
      <w:r w:rsidRPr="006E0AFE">
        <w:rPr>
          <w:lang w:eastAsia="en-US"/>
        </w:rPr>
        <w:t xml:space="preserve"> koje ne služe re</w:t>
      </w:r>
      <w:r w:rsidR="00EA31D1" w:rsidRPr="006E0AFE">
        <w:rPr>
          <w:lang w:eastAsia="en-US"/>
        </w:rPr>
        <w:t>dovnom poslovanju</w:t>
      </w:r>
      <w:r w:rsidRPr="006E0AFE">
        <w:rPr>
          <w:lang w:eastAsia="en-US"/>
        </w:rPr>
        <w:t xml:space="preserve"> </w:t>
      </w:r>
      <w:r w:rsidR="007355FC" w:rsidRPr="006E0AFE">
        <w:rPr>
          <w:lang w:eastAsia="en-US"/>
        </w:rPr>
        <w:t>Općine</w:t>
      </w:r>
      <w:r w:rsidR="00EA31D1" w:rsidRPr="006E0AFE">
        <w:rPr>
          <w:lang w:eastAsia="en-US"/>
        </w:rPr>
        <w:t>, kao i planiranim iznosima za obročnu otplatu prodaje stanova i grobnica.</w:t>
      </w:r>
      <w:r w:rsidRPr="006E0AFE">
        <w:rPr>
          <w:lang w:eastAsia="en-US"/>
        </w:rPr>
        <w:t xml:space="preserve"> </w:t>
      </w:r>
    </w:p>
    <w:p w14:paraId="799976AA" w14:textId="77777777" w:rsidR="00B94BCF" w:rsidRPr="006E0AFE" w:rsidRDefault="00A31DD1" w:rsidP="007355FC">
      <w:pPr>
        <w:jc w:val="both"/>
        <w:rPr>
          <w:lang w:eastAsia="en-US"/>
        </w:rPr>
      </w:pPr>
      <w:r w:rsidRPr="006E0AFE">
        <w:rPr>
          <w:b/>
          <w:lang w:eastAsia="en-US"/>
        </w:rPr>
        <w:t>Projekcijom</w:t>
      </w:r>
      <w:r w:rsidR="00B94BCF" w:rsidRPr="006E0AFE">
        <w:rPr>
          <w:b/>
          <w:lang w:eastAsia="en-US"/>
        </w:rPr>
        <w:t xml:space="preserve"> </w:t>
      </w:r>
      <w:r w:rsidRPr="006E0AFE">
        <w:rPr>
          <w:b/>
          <w:lang w:eastAsia="en-US"/>
        </w:rPr>
        <w:t xml:space="preserve">u </w:t>
      </w:r>
      <w:r w:rsidR="00055F66" w:rsidRPr="006E0AFE">
        <w:rPr>
          <w:b/>
          <w:lang w:eastAsia="en-US"/>
        </w:rPr>
        <w:t>2022</w:t>
      </w:r>
      <w:r w:rsidRPr="006E0AFE">
        <w:rPr>
          <w:b/>
          <w:lang w:eastAsia="en-US"/>
        </w:rPr>
        <w:t>.</w:t>
      </w:r>
      <w:r w:rsidR="00B94BCF" w:rsidRPr="006E0AFE">
        <w:rPr>
          <w:b/>
          <w:lang w:eastAsia="en-US"/>
        </w:rPr>
        <w:t xml:space="preserve"> </w:t>
      </w:r>
      <w:r w:rsidR="001B763A" w:rsidRPr="006E0AFE">
        <w:rPr>
          <w:b/>
          <w:lang w:eastAsia="en-US"/>
        </w:rPr>
        <w:t xml:space="preserve">i </w:t>
      </w:r>
      <w:r w:rsidR="00055F66" w:rsidRPr="006E0AFE">
        <w:rPr>
          <w:b/>
          <w:lang w:eastAsia="en-US"/>
        </w:rPr>
        <w:t>2023</w:t>
      </w:r>
      <w:r w:rsidR="001B763A" w:rsidRPr="006E0AFE">
        <w:rPr>
          <w:b/>
          <w:lang w:eastAsia="en-US"/>
        </w:rPr>
        <w:t>.</w:t>
      </w:r>
      <w:r w:rsidR="00B94BCF" w:rsidRPr="006E0AFE">
        <w:rPr>
          <w:b/>
          <w:lang w:eastAsia="en-US"/>
        </w:rPr>
        <w:t xml:space="preserve"> </w:t>
      </w:r>
      <w:r w:rsidR="001B763A" w:rsidRPr="006E0AFE">
        <w:rPr>
          <w:b/>
          <w:lang w:eastAsia="en-US"/>
        </w:rPr>
        <w:t>godini</w:t>
      </w:r>
      <w:r w:rsidR="001B763A" w:rsidRPr="006E0AFE">
        <w:rPr>
          <w:lang w:eastAsia="en-US"/>
        </w:rPr>
        <w:t xml:space="preserve"> </w:t>
      </w:r>
      <w:r w:rsidRPr="006E0AFE">
        <w:rPr>
          <w:lang w:eastAsia="en-US"/>
        </w:rPr>
        <w:t>planira</w:t>
      </w:r>
      <w:r w:rsidR="00EA31D1" w:rsidRPr="006E0AFE">
        <w:rPr>
          <w:lang w:eastAsia="en-US"/>
        </w:rPr>
        <w:t xml:space="preserve"> se</w:t>
      </w:r>
      <w:r w:rsidR="007355FC" w:rsidRPr="006E0AFE">
        <w:rPr>
          <w:lang w:eastAsia="en-US"/>
        </w:rPr>
        <w:t xml:space="preserve"> </w:t>
      </w:r>
      <w:r w:rsidR="00100CD2" w:rsidRPr="006E0AFE">
        <w:rPr>
          <w:lang w:eastAsia="en-US"/>
        </w:rPr>
        <w:t xml:space="preserve">značajno </w:t>
      </w:r>
      <w:r w:rsidRPr="006E0AFE">
        <w:rPr>
          <w:lang w:eastAsia="en-US"/>
        </w:rPr>
        <w:t>povećanj</w:t>
      </w:r>
      <w:r w:rsidR="001B763A" w:rsidRPr="006E0AFE">
        <w:rPr>
          <w:lang w:eastAsia="en-US"/>
        </w:rPr>
        <w:t>e</w:t>
      </w:r>
      <w:r w:rsidRPr="006E0AFE">
        <w:rPr>
          <w:lang w:eastAsia="en-US"/>
        </w:rPr>
        <w:t xml:space="preserve"> prihod</w:t>
      </w:r>
      <w:r w:rsidR="00A55DCA" w:rsidRPr="006E0AFE">
        <w:rPr>
          <w:lang w:eastAsia="en-US"/>
        </w:rPr>
        <w:t>a</w:t>
      </w:r>
      <w:r w:rsidRPr="006E0AFE">
        <w:rPr>
          <w:lang w:eastAsia="en-US"/>
        </w:rPr>
        <w:t xml:space="preserve"> od </w:t>
      </w:r>
      <w:r w:rsidR="00EA31D1" w:rsidRPr="006E0AFE">
        <w:rPr>
          <w:lang w:eastAsia="en-US"/>
        </w:rPr>
        <w:t>prodaje imovine</w:t>
      </w:r>
      <w:r w:rsidR="007355FC" w:rsidRPr="006E0AFE">
        <w:rPr>
          <w:lang w:eastAsia="en-US"/>
        </w:rPr>
        <w:t xml:space="preserve"> </w:t>
      </w:r>
      <w:r w:rsidR="00EA31D1" w:rsidRPr="006E0AFE">
        <w:rPr>
          <w:lang w:eastAsia="en-US"/>
        </w:rPr>
        <w:t xml:space="preserve">(14.000.000 kn) </w:t>
      </w:r>
      <w:r w:rsidR="007355FC" w:rsidRPr="006E0AFE">
        <w:rPr>
          <w:lang w:eastAsia="en-US"/>
        </w:rPr>
        <w:t>radi očekivanog interesa za kupnju z</w:t>
      </w:r>
      <w:r w:rsidR="001B763A" w:rsidRPr="006E0AFE">
        <w:rPr>
          <w:lang w:eastAsia="en-US"/>
        </w:rPr>
        <w:t>em</w:t>
      </w:r>
      <w:r w:rsidR="007355FC" w:rsidRPr="006E0AFE">
        <w:rPr>
          <w:lang w:eastAsia="en-US"/>
        </w:rPr>
        <w:t xml:space="preserve">ljišta </w:t>
      </w:r>
      <w:r w:rsidR="00EA31D1" w:rsidRPr="006E0AFE">
        <w:rPr>
          <w:lang w:eastAsia="en-US"/>
        </w:rPr>
        <w:t xml:space="preserve">prvenstveno </w:t>
      </w:r>
      <w:r w:rsidR="007355FC" w:rsidRPr="006E0AFE">
        <w:rPr>
          <w:lang w:eastAsia="en-US"/>
        </w:rPr>
        <w:t xml:space="preserve">u </w:t>
      </w:r>
      <w:r w:rsidR="00EA31D1" w:rsidRPr="006E0AFE">
        <w:rPr>
          <w:lang w:eastAsia="en-US"/>
        </w:rPr>
        <w:t>radnim</w:t>
      </w:r>
      <w:r w:rsidR="007355FC" w:rsidRPr="006E0AFE">
        <w:rPr>
          <w:lang w:eastAsia="en-US"/>
        </w:rPr>
        <w:t xml:space="preserve"> zonama</w:t>
      </w:r>
      <w:r w:rsidR="00EA31D1" w:rsidRPr="006E0AFE">
        <w:rPr>
          <w:lang w:eastAsia="en-US"/>
        </w:rPr>
        <w:t xml:space="preserve"> </w:t>
      </w:r>
      <w:r w:rsidR="00344DC3" w:rsidRPr="006E0AFE">
        <w:rPr>
          <w:lang w:eastAsia="en-US"/>
        </w:rPr>
        <w:t>koje se s tom namjerom i uređuju</w:t>
      </w:r>
      <w:r w:rsidR="00EA31D1" w:rsidRPr="006E0AFE">
        <w:rPr>
          <w:lang w:eastAsia="en-US"/>
        </w:rPr>
        <w:t xml:space="preserve">, ali i za kupnju zemljišta u ostalim građevinskim područjima. </w:t>
      </w:r>
    </w:p>
    <w:p w14:paraId="0F6A532B" w14:textId="77777777" w:rsidR="00210339" w:rsidRPr="006E0AFE" w:rsidRDefault="00210339" w:rsidP="007355FC">
      <w:pPr>
        <w:jc w:val="both"/>
        <w:rPr>
          <w:highlight w:val="yellow"/>
          <w:lang w:eastAsia="en-US"/>
        </w:rPr>
      </w:pPr>
    </w:p>
    <w:p w14:paraId="7D055263" w14:textId="77777777" w:rsidR="003F41D3" w:rsidRPr="006E0AFE" w:rsidRDefault="003F41D3" w:rsidP="007355FC">
      <w:pPr>
        <w:jc w:val="both"/>
        <w:rPr>
          <w:b/>
          <w:sz w:val="22"/>
          <w:szCs w:val="22"/>
          <w:highlight w:val="yellow"/>
          <w:u w:val="single"/>
          <w:lang w:eastAsia="en-US"/>
        </w:rPr>
      </w:pPr>
    </w:p>
    <w:p w14:paraId="5036A1E4" w14:textId="77777777" w:rsidR="00A31DD1" w:rsidRPr="006E0AFE" w:rsidRDefault="001B763A" w:rsidP="00845F5B">
      <w:pPr>
        <w:numPr>
          <w:ilvl w:val="0"/>
          <w:numId w:val="4"/>
        </w:numPr>
        <w:jc w:val="both"/>
        <w:rPr>
          <w:i/>
          <w:iCs/>
          <w:lang w:eastAsia="en-US"/>
        </w:rPr>
      </w:pPr>
      <w:r w:rsidRPr="006E0AFE">
        <w:rPr>
          <w:b/>
          <w:i/>
          <w:iCs/>
          <w:u w:val="single"/>
          <w:lang w:eastAsia="en-US"/>
        </w:rPr>
        <w:t>PRIMICI OD FINANCIJSKE IMOVINE I ZADUŽIVANJA</w:t>
      </w:r>
    </w:p>
    <w:p w14:paraId="5AED8078" w14:textId="77777777" w:rsidR="001B763A" w:rsidRPr="006E0AFE" w:rsidRDefault="001B763A" w:rsidP="001B763A">
      <w:pPr>
        <w:ind w:left="720"/>
        <w:jc w:val="both"/>
        <w:rPr>
          <w:sz w:val="20"/>
          <w:szCs w:val="20"/>
          <w:lang w:eastAsia="en-US"/>
        </w:rPr>
      </w:pPr>
    </w:p>
    <w:p w14:paraId="646650DC" w14:textId="722F0BCF" w:rsidR="005C4D88" w:rsidRPr="006E0AFE" w:rsidRDefault="00845F5B" w:rsidP="00B16C87">
      <w:pPr>
        <w:jc w:val="both"/>
        <w:rPr>
          <w:rFonts w:eastAsia="Calibri"/>
        </w:rPr>
      </w:pPr>
      <w:r w:rsidRPr="006E0AFE">
        <w:rPr>
          <w:rFonts w:eastAsia="Calibri"/>
          <w:b/>
        </w:rPr>
        <w:t>Proračunom</w:t>
      </w:r>
      <w:r w:rsidR="00A31DD1" w:rsidRPr="006E0AFE">
        <w:rPr>
          <w:rFonts w:eastAsia="Calibri"/>
          <w:b/>
        </w:rPr>
        <w:t xml:space="preserve"> za </w:t>
      </w:r>
      <w:r w:rsidR="00055F66" w:rsidRPr="006E0AFE">
        <w:rPr>
          <w:rFonts w:eastAsia="Calibri"/>
          <w:b/>
        </w:rPr>
        <w:t>2021</w:t>
      </w:r>
      <w:r w:rsidR="00A31DD1" w:rsidRPr="006E0AFE">
        <w:rPr>
          <w:rFonts w:eastAsia="Calibri"/>
          <w:b/>
        </w:rPr>
        <w:t xml:space="preserve">. </w:t>
      </w:r>
      <w:r w:rsidR="00F67AE0" w:rsidRPr="006E0AFE">
        <w:rPr>
          <w:rFonts w:eastAsia="Calibri"/>
          <w:b/>
        </w:rPr>
        <w:t>godinu</w:t>
      </w:r>
      <w:r w:rsidRPr="006E0AFE">
        <w:rPr>
          <w:rFonts w:eastAsia="Calibri"/>
        </w:rPr>
        <w:t xml:space="preserve"> </w:t>
      </w:r>
      <w:r w:rsidR="00A31DD1" w:rsidRPr="006E0AFE">
        <w:rPr>
          <w:rFonts w:eastAsia="Calibri"/>
        </w:rPr>
        <w:t xml:space="preserve">planirani </w:t>
      </w:r>
      <w:r w:rsidRPr="006E0AFE">
        <w:rPr>
          <w:rFonts w:eastAsia="Calibri"/>
        </w:rPr>
        <w:t xml:space="preserve">su </w:t>
      </w:r>
      <w:r w:rsidR="00A31DD1" w:rsidRPr="006E0AFE">
        <w:rPr>
          <w:rFonts w:eastAsia="Calibri"/>
        </w:rPr>
        <w:t xml:space="preserve">primici od financijske imovine i zaduženja </w:t>
      </w:r>
      <w:r w:rsidRPr="006E0AFE">
        <w:rPr>
          <w:rFonts w:eastAsia="Calibri"/>
        </w:rPr>
        <w:t xml:space="preserve">u visini od </w:t>
      </w:r>
      <w:r w:rsidR="00EA31D1" w:rsidRPr="006E0AFE">
        <w:rPr>
          <w:rFonts w:eastAsia="Calibri"/>
        </w:rPr>
        <w:t>23.100.000 kn</w:t>
      </w:r>
      <w:r w:rsidR="005C4D88" w:rsidRPr="006E0AFE">
        <w:rPr>
          <w:rFonts w:eastAsia="Calibri"/>
        </w:rPr>
        <w:t xml:space="preserve">, </w:t>
      </w:r>
      <w:r w:rsidR="00F67AE0" w:rsidRPr="006E0AFE">
        <w:rPr>
          <w:rFonts w:eastAsia="Calibri"/>
        </w:rPr>
        <w:t xml:space="preserve">dok se primici u 2022. godinu planiraju u iznosu od 2.900.000 kn. Navedeno se odnosi na planirano </w:t>
      </w:r>
      <w:r w:rsidR="005C4D88" w:rsidRPr="006E0AFE">
        <w:rPr>
          <w:rFonts w:eastAsia="Calibri"/>
        </w:rPr>
        <w:t xml:space="preserve">kreditno zaduženje u iznosu od 6.000.000 kn kod HBOR-a s </w:t>
      </w:r>
      <w:r w:rsidR="003F4AF8" w:rsidRPr="006E0AFE">
        <w:rPr>
          <w:rFonts w:eastAsia="Calibri"/>
        </w:rPr>
        <w:t xml:space="preserve">fiksnom </w:t>
      </w:r>
      <w:r w:rsidR="005C4D88" w:rsidRPr="006E0AFE">
        <w:rPr>
          <w:rFonts w:eastAsia="Calibri"/>
        </w:rPr>
        <w:t xml:space="preserve">kamatnom stopom od 0,1% i rokom otplate </w:t>
      </w:r>
      <w:r w:rsidR="003F4AF8" w:rsidRPr="006E0AFE">
        <w:rPr>
          <w:rFonts w:eastAsia="Calibri"/>
        </w:rPr>
        <w:t>10 godina</w:t>
      </w:r>
      <w:r w:rsidR="00F67AE0" w:rsidRPr="006E0AFE">
        <w:rPr>
          <w:rFonts w:eastAsia="Calibri"/>
        </w:rPr>
        <w:t xml:space="preserve"> te kreditno</w:t>
      </w:r>
      <w:r w:rsidR="005C4D88" w:rsidRPr="006E0AFE">
        <w:rPr>
          <w:rFonts w:eastAsia="Calibri"/>
        </w:rPr>
        <w:t xml:space="preserve"> zaduženje </w:t>
      </w:r>
      <w:r w:rsidR="00F67AE0" w:rsidRPr="006E0AFE">
        <w:rPr>
          <w:rFonts w:eastAsia="Calibri"/>
        </w:rPr>
        <w:t>u ukupnom iznosu od 2</w:t>
      </w:r>
      <w:r w:rsidR="008D4D52">
        <w:rPr>
          <w:rFonts w:eastAsia="Calibri"/>
        </w:rPr>
        <w:t>0</w:t>
      </w:r>
      <w:r w:rsidR="00F67AE0" w:rsidRPr="006E0AFE">
        <w:rPr>
          <w:rFonts w:eastAsia="Calibri"/>
        </w:rPr>
        <w:t xml:space="preserve">.000.000 kn (povlačenje 17.100.000 kn u 2021. i 2.900.000 kn u 2021. godini) </w:t>
      </w:r>
      <w:r w:rsidR="005C4D88" w:rsidRPr="006E0AFE">
        <w:rPr>
          <w:rFonts w:eastAsia="Calibri"/>
        </w:rPr>
        <w:t xml:space="preserve">kod poslovne banke, u okviru HBOR programa, s </w:t>
      </w:r>
      <w:r w:rsidR="003F4AF8" w:rsidRPr="006E0AFE">
        <w:rPr>
          <w:rFonts w:eastAsia="Calibri"/>
        </w:rPr>
        <w:t xml:space="preserve">fiksnom </w:t>
      </w:r>
      <w:r w:rsidR="005C4D88" w:rsidRPr="006E0AFE">
        <w:rPr>
          <w:rFonts w:eastAsia="Calibri"/>
        </w:rPr>
        <w:t xml:space="preserve">kamatnom stopom </w:t>
      </w:r>
      <w:r w:rsidR="003F4AF8" w:rsidRPr="006E0AFE">
        <w:rPr>
          <w:rFonts w:eastAsia="Calibri"/>
        </w:rPr>
        <w:t>o</w:t>
      </w:r>
      <w:r w:rsidR="005C4D88" w:rsidRPr="006E0AFE">
        <w:rPr>
          <w:rFonts w:eastAsia="Calibri"/>
        </w:rPr>
        <w:t>d 1,75% i rokom otplate 15 godina</w:t>
      </w:r>
      <w:r w:rsidR="003F4AF8" w:rsidRPr="006E0AFE">
        <w:rPr>
          <w:rFonts w:eastAsia="Calibri"/>
        </w:rPr>
        <w:t xml:space="preserve"> (prema indikativnim ponudama).</w:t>
      </w:r>
      <w:r w:rsidR="00F67AE0" w:rsidRPr="006E0AFE">
        <w:rPr>
          <w:rFonts w:eastAsia="Calibri"/>
        </w:rPr>
        <w:t xml:space="preserve"> Kredit u iznosu od 6.000.000 kn predviđen je za projekt obnove javne rasvjete, dok je kredit u iznosu od 2</w:t>
      </w:r>
      <w:r w:rsidR="008D4D52">
        <w:rPr>
          <w:rFonts w:eastAsia="Calibri"/>
        </w:rPr>
        <w:t>0</w:t>
      </w:r>
      <w:r w:rsidR="00F67AE0" w:rsidRPr="006E0AFE">
        <w:rPr>
          <w:rFonts w:eastAsia="Calibri"/>
        </w:rPr>
        <w:t xml:space="preserve">.000.000 kn planiran za investiciju izgradnje nerazvrstanih cesta i ravnanje platoa u RZ </w:t>
      </w:r>
      <w:proofErr w:type="spellStart"/>
      <w:r w:rsidR="00F67AE0" w:rsidRPr="006E0AFE">
        <w:rPr>
          <w:rFonts w:eastAsia="Calibri"/>
        </w:rPr>
        <w:t>Miklavija</w:t>
      </w:r>
      <w:proofErr w:type="spellEnd"/>
      <w:r w:rsidR="00F67AE0" w:rsidRPr="006E0AFE">
        <w:rPr>
          <w:rFonts w:eastAsia="Calibri"/>
        </w:rPr>
        <w:t>.</w:t>
      </w:r>
    </w:p>
    <w:p w14:paraId="4438FCE3" w14:textId="77777777" w:rsidR="005C4D88" w:rsidRPr="006E0AFE" w:rsidRDefault="005C4D88" w:rsidP="00B16C87">
      <w:pPr>
        <w:jc w:val="both"/>
        <w:rPr>
          <w:rFonts w:eastAsia="Calibri"/>
        </w:rPr>
      </w:pPr>
    </w:p>
    <w:p w14:paraId="594A58B2" w14:textId="77777777" w:rsidR="00344DC3" w:rsidRPr="006E0AFE" w:rsidRDefault="00344DC3" w:rsidP="00B16C87">
      <w:pPr>
        <w:jc w:val="both"/>
        <w:rPr>
          <w:rFonts w:eastAsia="Calibri"/>
        </w:rPr>
      </w:pPr>
    </w:p>
    <w:p w14:paraId="14398267" w14:textId="77777777" w:rsidR="00344DC3" w:rsidRPr="006E0AFE" w:rsidRDefault="00344DC3" w:rsidP="00B16C87">
      <w:pPr>
        <w:jc w:val="both"/>
        <w:rPr>
          <w:rFonts w:eastAsia="Calibri"/>
        </w:rPr>
      </w:pPr>
    </w:p>
    <w:p w14:paraId="7D4C65CF" w14:textId="77777777" w:rsidR="00344DC3" w:rsidRPr="006E0AFE" w:rsidRDefault="00344DC3" w:rsidP="00B16C87">
      <w:pPr>
        <w:jc w:val="both"/>
        <w:rPr>
          <w:rFonts w:eastAsia="Calibri"/>
        </w:rPr>
      </w:pPr>
    </w:p>
    <w:p w14:paraId="76EA9F78" w14:textId="77777777" w:rsidR="007A48B0" w:rsidRPr="006E0AFE" w:rsidRDefault="007A48B0" w:rsidP="00B16C87">
      <w:pPr>
        <w:jc w:val="both"/>
        <w:rPr>
          <w:rFonts w:eastAsia="Calibri"/>
        </w:rPr>
      </w:pPr>
    </w:p>
    <w:p w14:paraId="21F4C6BE" w14:textId="77777777" w:rsidR="00ED705B" w:rsidRPr="006E0AFE" w:rsidRDefault="00344DC3" w:rsidP="00E46340">
      <w:pPr>
        <w:jc w:val="both"/>
        <w:rPr>
          <w:b/>
          <w:sz w:val="28"/>
          <w:szCs w:val="28"/>
          <w:u w:val="single"/>
          <w:lang w:eastAsia="en-US"/>
        </w:rPr>
      </w:pPr>
      <w:r w:rsidRPr="006E0AFE">
        <w:rPr>
          <w:b/>
          <w:sz w:val="28"/>
          <w:szCs w:val="28"/>
          <w:u w:val="single"/>
          <w:lang w:eastAsia="en-US"/>
        </w:rPr>
        <w:br w:type="page"/>
      </w:r>
      <w:r w:rsidR="00ED705B" w:rsidRPr="00845179">
        <w:rPr>
          <w:b/>
          <w:color w:val="2E74B5"/>
          <w:sz w:val="28"/>
          <w:szCs w:val="28"/>
          <w:u w:val="single"/>
          <w:lang w:eastAsia="en-US"/>
          <w14:shadow w14:blurRad="50800" w14:dist="38100" w14:dir="2700000" w14:sx="100000" w14:sy="100000" w14:kx="0" w14:ky="0" w14:algn="tl">
            <w14:srgbClr w14:val="000000">
              <w14:alpha w14:val="60000"/>
            </w14:srgbClr>
          </w14:shadow>
        </w:rPr>
        <w:lastRenderedPageBreak/>
        <w:t xml:space="preserve">II. </w:t>
      </w:r>
      <w:r w:rsidR="00E46340" w:rsidRPr="00845179">
        <w:rPr>
          <w:b/>
          <w:color w:val="2E74B5"/>
          <w:sz w:val="28"/>
          <w:szCs w:val="28"/>
          <w:u w:val="single"/>
          <w:lang w:eastAsia="en-US"/>
          <w14:shadow w14:blurRad="50800" w14:dist="38100" w14:dir="2700000" w14:sx="100000" w14:sy="100000" w14:kx="0" w14:ky="0" w14:algn="tl">
            <w14:srgbClr w14:val="000000">
              <w14:alpha w14:val="60000"/>
            </w14:srgbClr>
          </w14:shadow>
        </w:rPr>
        <w:t xml:space="preserve">OBRAZLOŽENJE </w:t>
      </w:r>
      <w:r w:rsidR="00800A92" w:rsidRPr="00845179">
        <w:rPr>
          <w:b/>
          <w:color w:val="2E74B5"/>
          <w:sz w:val="28"/>
          <w:szCs w:val="28"/>
          <w:u w:val="single"/>
          <w:lang w:eastAsia="en-US"/>
          <w14:shadow w14:blurRad="50800" w14:dist="38100" w14:dir="2700000" w14:sx="100000" w14:sy="100000" w14:kx="0" w14:ky="0" w14:algn="tl">
            <w14:srgbClr w14:val="000000">
              <w14:alpha w14:val="60000"/>
            </w14:srgbClr>
          </w14:shadow>
        </w:rPr>
        <w:t xml:space="preserve">PLANIRANIH </w:t>
      </w:r>
      <w:r w:rsidR="00ED705B" w:rsidRPr="00845179">
        <w:rPr>
          <w:b/>
          <w:color w:val="2E74B5"/>
          <w:sz w:val="28"/>
          <w:szCs w:val="28"/>
          <w:u w:val="single"/>
          <w:lang w:eastAsia="en-US"/>
          <w14:shadow w14:blurRad="50800" w14:dist="38100" w14:dir="2700000" w14:sx="100000" w14:sy="100000" w14:kx="0" w14:ky="0" w14:algn="tl">
            <w14:srgbClr w14:val="000000">
              <w14:alpha w14:val="60000"/>
            </w14:srgbClr>
          </w14:shadow>
        </w:rPr>
        <w:t>RASHOD</w:t>
      </w:r>
      <w:r w:rsidR="00E46340" w:rsidRPr="00845179">
        <w:rPr>
          <w:b/>
          <w:color w:val="2E74B5"/>
          <w:sz w:val="28"/>
          <w:szCs w:val="28"/>
          <w:u w:val="single"/>
          <w:lang w:eastAsia="en-US"/>
          <w14:shadow w14:blurRad="50800" w14:dist="38100" w14:dir="2700000" w14:sx="100000" w14:sy="100000" w14:kx="0" w14:ky="0" w14:algn="tl">
            <w14:srgbClr w14:val="000000">
              <w14:alpha w14:val="60000"/>
            </w14:srgbClr>
          </w14:shadow>
        </w:rPr>
        <w:t>A</w:t>
      </w:r>
      <w:r w:rsidR="00ED705B" w:rsidRPr="00845179">
        <w:rPr>
          <w:b/>
          <w:color w:val="2E74B5"/>
          <w:sz w:val="28"/>
          <w:szCs w:val="28"/>
          <w:u w:val="single"/>
          <w:lang w:eastAsia="en-US"/>
          <w14:shadow w14:blurRad="50800" w14:dist="38100" w14:dir="2700000" w14:sx="100000" w14:sy="100000" w14:kx="0" w14:ky="0" w14:algn="tl">
            <w14:srgbClr w14:val="000000">
              <w14:alpha w14:val="60000"/>
            </w14:srgbClr>
          </w14:shadow>
        </w:rPr>
        <w:t xml:space="preserve"> I IZDA</w:t>
      </w:r>
      <w:r w:rsidR="00E46340" w:rsidRPr="00845179">
        <w:rPr>
          <w:b/>
          <w:color w:val="2E74B5"/>
          <w:sz w:val="28"/>
          <w:szCs w:val="28"/>
          <w:u w:val="single"/>
          <w:lang w:eastAsia="en-US"/>
          <w14:shadow w14:blurRad="50800" w14:dist="38100" w14:dir="2700000" w14:sx="100000" w14:sy="100000" w14:kx="0" w14:ky="0" w14:algn="tl">
            <w14:srgbClr w14:val="000000">
              <w14:alpha w14:val="60000"/>
            </w14:srgbClr>
          </w14:shadow>
        </w:rPr>
        <w:t>TAKA</w:t>
      </w:r>
    </w:p>
    <w:p w14:paraId="46791C26" w14:textId="77777777" w:rsidR="00ED705B" w:rsidRPr="006E0AFE" w:rsidRDefault="00ED705B" w:rsidP="00ED705B">
      <w:pPr>
        <w:jc w:val="both"/>
        <w:rPr>
          <w:sz w:val="22"/>
          <w:szCs w:val="22"/>
          <w:lang w:eastAsia="en-US"/>
        </w:rPr>
      </w:pPr>
    </w:p>
    <w:p w14:paraId="2F39AF54" w14:textId="77777777" w:rsidR="00ED705B" w:rsidRPr="006E0AFE" w:rsidRDefault="00ED705B" w:rsidP="00ED705B">
      <w:pPr>
        <w:jc w:val="both"/>
        <w:rPr>
          <w:lang w:eastAsia="en-US"/>
        </w:rPr>
      </w:pPr>
      <w:r w:rsidRPr="006E0AFE">
        <w:rPr>
          <w:lang w:eastAsia="en-US"/>
        </w:rPr>
        <w:t xml:space="preserve">Rashodi i izdaci Proračuna prema ekonomskoj klasifikaciji obuhvaćaju </w:t>
      </w:r>
      <w:r w:rsidRPr="006E0AFE">
        <w:rPr>
          <w:b/>
          <w:u w:val="single"/>
          <w:lang w:eastAsia="en-US"/>
        </w:rPr>
        <w:t>rashode poslovanja</w:t>
      </w:r>
      <w:r w:rsidRPr="006E0AFE">
        <w:rPr>
          <w:lang w:eastAsia="en-US"/>
        </w:rPr>
        <w:t xml:space="preserve">, </w:t>
      </w:r>
      <w:r w:rsidRPr="006E0AFE">
        <w:rPr>
          <w:b/>
          <w:u w:val="single"/>
          <w:lang w:eastAsia="en-US"/>
        </w:rPr>
        <w:t>rashode za nabavu nefinancijske imovine</w:t>
      </w:r>
      <w:r w:rsidRPr="006E0AFE">
        <w:rPr>
          <w:lang w:eastAsia="en-US"/>
        </w:rPr>
        <w:t xml:space="preserve"> te </w:t>
      </w:r>
      <w:r w:rsidRPr="006E0AFE">
        <w:rPr>
          <w:b/>
          <w:u w:val="single"/>
          <w:lang w:eastAsia="en-US"/>
        </w:rPr>
        <w:t>izdatke za financijsku imovinu i otplate zajmova</w:t>
      </w:r>
      <w:r w:rsidR="00800A92" w:rsidRPr="006E0AFE">
        <w:rPr>
          <w:lang w:eastAsia="en-US"/>
        </w:rPr>
        <w:t>.</w:t>
      </w:r>
    </w:p>
    <w:p w14:paraId="5307F4F8" w14:textId="77777777" w:rsidR="00ED705B" w:rsidRPr="006E0AFE" w:rsidRDefault="00ED705B" w:rsidP="00ED705B">
      <w:pPr>
        <w:jc w:val="both"/>
        <w:rPr>
          <w:lang w:eastAsia="en-US"/>
        </w:rPr>
      </w:pPr>
    </w:p>
    <w:p w14:paraId="734DA48F" w14:textId="77777777" w:rsidR="00ED705B" w:rsidRPr="006E0AFE" w:rsidRDefault="00ED705B" w:rsidP="00ED705B">
      <w:pPr>
        <w:jc w:val="both"/>
        <w:rPr>
          <w:lang w:eastAsia="en-US"/>
        </w:rPr>
      </w:pPr>
      <w:r w:rsidRPr="006E0AFE">
        <w:rPr>
          <w:lang w:eastAsia="en-US"/>
        </w:rPr>
        <w:t>Rashodi i izdaci Proračuna za 2021. godinu te projekcije za 2022. i 2023. prema ekonomskoj klasifikaciji planirani su kako slijedi:</w:t>
      </w:r>
    </w:p>
    <w:p w14:paraId="04AEF352" w14:textId="77777777" w:rsidR="00ED705B" w:rsidRPr="006E0AFE" w:rsidRDefault="00ED705B" w:rsidP="00ED705B">
      <w:pPr>
        <w:jc w:val="both"/>
        <w:rPr>
          <w:sz w:val="22"/>
          <w:szCs w:val="22"/>
          <w:highlight w:val="yellow"/>
          <w:lang w:eastAsia="en-US"/>
        </w:rPr>
      </w:pPr>
    </w:p>
    <w:p w14:paraId="46B93D85" w14:textId="69A2C6A8" w:rsidR="00ED705B" w:rsidRPr="006E0AFE" w:rsidRDefault="00845179" w:rsidP="00ED705B">
      <w:pPr>
        <w:jc w:val="both"/>
        <w:rPr>
          <w:sz w:val="22"/>
          <w:szCs w:val="22"/>
          <w:highlight w:val="yellow"/>
          <w:lang w:eastAsia="en-US"/>
        </w:rPr>
      </w:pPr>
      <w:r>
        <w:rPr>
          <w:noProof/>
        </w:rPr>
        <w:drawing>
          <wp:anchor distT="0" distB="0" distL="114300" distR="114300" simplePos="0" relativeHeight="251657216" behindDoc="0" locked="0" layoutInCell="1" allowOverlap="1" wp14:anchorId="6FAFE2EF" wp14:editId="1E66D269">
            <wp:simplePos x="0" y="0"/>
            <wp:positionH relativeFrom="column">
              <wp:posOffset>552450</wp:posOffset>
            </wp:positionH>
            <wp:positionV relativeFrom="paragraph">
              <wp:posOffset>60960</wp:posOffset>
            </wp:positionV>
            <wp:extent cx="5212715" cy="3139440"/>
            <wp:effectExtent l="0" t="0" r="0" b="0"/>
            <wp:wrapSquare wrapText="bothSides"/>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3139440"/>
                    </a:xfrm>
                    <a:prstGeom prst="rect">
                      <a:avLst/>
                    </a:prstGeom>
                    <a:noFill/>
                  </pic:spPr>
                </pic:pic>
              </a:graphicData>
            </a:graphic>
            <wp14:sizeRelH relativeFrom="page">
              <wp14:pctWidth>0</wp14:pctWidth>
            </wp14:sizeRelH>
            <wp14:sizeRelV relativeFrom="page">
              <wp14:pctHeight>0</wp14:pctHeight>
            </wp14:sizeRelV>
          </wp:anchor>
        </w:drawing>
      </w:r>
    </w:p>
    <w:p w14:paraId="4B7A0204" w14:textId="77777777" w:rsidR="00ED705B" w:rsidRPr="006E0AFE" w:rsidRDefault="00ED705B" w:rsidP="00ED705B">
      <w:pPr>
        <w:jc w:val="both"/>
        <w:rPr>
          <w:sz w:val="22"/>
          <w:szCs w:val="22"/>
          <w:highlight w:val="yellow"/>
          <w:lang w:eastAsia="en-US"/>
        </w:rPr>
      </w:pPr>
    </w:p>
    <w:p w14:paraId="22AC201B" w14:textId="77777777" w:rsidR="00ED705B" w:rsidRPr="006E0AFE" w:rsidRDefault="00ED705B" w:rsidP="00ED705B">
      <w:pPr>
        <w:jc w:val="both"/>
        <w:rPr>
          <w:sz w:val="22"/>
          <w:szCs w:val="22"/>
          <w:highlight w:val="yellow"/>
          <w:lang w:eastAsia="en-US"/>
        </w:rPr>
      </w:pPr>
    </w:p>
    <w:p w14:paraId="40587EAE" w14:textId="77777777" w:rsidR="00ED705B" w:rsidRPr="006E0AFE" w:rsidRDefault="00ED705B" w:rsidP="00ED705B">
      <w:pPr>
        <w:jc w:val="both"/>
        <w:rPr>
          <w:sz w:val="22"/>
          <w:szCs w:val="22"/>
          <w:highlight w:val="yellow"/>
          <w:lang w:eastAsia="en-US"/>
        </w:rPr>
      </w:pPr>
    </w:p>
    <w:p w14:paraId="1E00AF02" w14:textId="77777777" w:rsidR="00ED705B" w:rsidRPr="006E0AFE" w:rsidRDefault="00ED705B" w:rsidP="00ED705B">
      <w:pPr>
        <w:jc w:val="both"/>
        <w:rPr>
          <w:sz w:val="22"/>
          <w:szCs w:val="22"/>
          <w:highlight w:val="yellow"/>
          <w:lang w:eastAsia="en-US"/>
        </w:rPr>
      </w:pPr>
    </w:p>
    <w:p w14:paraId="1B469261" w14:textId="77777777" w:rsidR="00ED705B" w:rsidRPr="006E0AFE" w:rsidRDefault="00ED705B" w:rsidP="00ED705B">
      <w:pPr>
        <w:jc w:val="both"/>
        <w:rPr>
          <w:sz w:val="22"/>
          <w:szCs w:val="22"/>
          <w:highlight w:val="yellow"/>
          <w:lang w:eastAsia="en-US"/>
        </w:rPr>
      </w:pPr>
    </w:p>
    <w:p w14:paraId="7D6A64FB" w14:textId="77777777" w:rsidR="00ED705B" w:rsidRPr="006E0AFE" w:rsidRDefault="00ED705B" w:rsidP="00ED705B">
      <w:pPr>
        <w:jc w:val="both"/>
        <w:rPr>
          <w:sz w:val="22"/>
          <w:szCs w:val="22"/>
          <w:highlight w:val="yellow"/>
          <w:lang w:eastAsia="en-US"/>
        </w:rPr>
      </w:pPr>
    </w:p>
    <w:p w14:paraId="75B0F7E7" w14:textId="77777777" w:rsidR="00ED705B" w:rsidRPr="006E0AFE" w:rsidRDefault="00ED705B" w:rsidP="00ED705B">
      <w:pPr>
        <w:jc w:val="both"/>
        <w:rPr>
          <w:sz w:val="22"/>
          <w:szCs w:val="22"/>
          <w:highlight w:val="yellow"/>
          <w:lang w:eastAsia="en-US"/>
        </w:rPr>
      </w:pPr>
    </w:p>
    <w:p w14:paraId="2123498A" w14:textId="77777777" w:rsidR="00ED705B" w:rsidRPr="006E0AFE" w:rsidRDefault="00ED705B" w:rsidP="00ED705B">
      <w:pPr>
        <w:jc w:val="both"/>
        <w:rPr>
          <w:sz w:val="22"/>
          <w:szCs w:val="22"/>
          <w:highlight w:val="yellow"/>
          <w:lang w:eastAsia="en-US"/>
        </w:rPr>
      </w:pPr>
    </w:p>
    <w:p w14:paraId="61C8E6E8" w14:textId="77777777" w:rsidR="00ED705B" w:rsidRPr="006E0AFE" w:rsidRDefault="00ED705B" w:rsidP="00ED705B">
      <w:pPr>
        <w:jc w:val="both"/>
        <w:rPr>
          <w:sz w:val="22"/>
          <w:szCs w:val="22"/>
          <w:highlight w:val="yellow"/>
          <w:lang w:eastAsia="en-US"/>
        </w:rPr>
      </w:pPr>
    </w:p>
    <w:p w14:paraId="734F3FD3" w14:textId="77777777" w:rsidR="00ED705B" w:rsidRPr="006E0AFE" w:rsidRDefault="00ED705B" w:rsidP="00ED705B">
      <w:pPr>
        <w:jc w:val="both"/>
        <w:rPr>
          <w:sz w:val="22"/>
          <w:szCs w:val="22"/>
          <w:highlight w:val="yellow"/>
          <w:lang w:eastAsia="en-US"/>
        </w:rPr>
      </w:pPr>
    </w:p>
    <w:p w14:paraId="425070EC" w14:textId="77777777" w:rsidR="00ED705B" w:rsidRPr="006E0AFE" w:rsidRDefault="00ED705B" w:rsidP="00ED705B">
      <w:pPr>
        <w:jc w:val="both"/>
        <w:rPr>
          <w:sz w:val="22"/>
          <w:szCs w:val="22"/>
          <w:highlight w:val="yellow"/>
          <w:lang w:eastAsia="en-US"/>
        </w:rPr>
      </w:pPr>
    </w:p>
    <w:p w14:paraId="2308DD89" w14:textId="77777777" w:rsidR="00ED705B" w:rsidRPr="006E0AFE" w:rsidRDefault="00ED705B" w:rsidP="00ED705B">
      <w:pPr>
        <w:jc w:val="center"/>
        <w:rPr>
          <w:sz w:val="22"/>
          <w:szCs w:val="22"/>
          <w:highlight w:val="yellow"/>
          <w:lang w:eastAsia="en-US"/>
        </w:rPr>
      </w:pPr>
    </w:p>
    <w:p w14:paraId="26279568" w14:textId="77777777" w:rsidR="00ED705B" w:rsidRPr="006E0AFE" w:rsidRDefault="00ED705B" w:rsidP="00ED705B">
      <w:pPr>
        <w:jc w:val="both"/>
        <w:rPr>
          <w:lang w:eastAsia="en-US"/>
        </w:rPr>
      </w:pPr>
    </w:p>
    <w:p w14:paraId="579B78F1" w14:textId="77777777" w:rsidR="00ED705B" w:rsidRPr="006E0AFE" w:rsidRDefault="00ED705B" w:rsidP="00ED705B">
      <w:pPr>
        <w:jc w:val="both"/>
        <w:rPr>
          <w:lang w:eastAsia="en-US"/>
        </w:rPr>
      </w:pPr>
    </w:p>
    <w:p w14:paraId="027B9E4E" w14:textId="77777777" w:rsidR="00ED705B" w:rsidRPr="006E0AFE" w:rsidRDefault="00ED705B" w:rsidP="00ED705B">
      <w:pPr>
        <w:jc w:val="both"/>
        <w:rPr>
          <w:lang w:eastAsia="en-US"/>
        </w:rPr>
      </w:pPr>
    </w:p>
    <w:p w14:paraId="5B74C743" w14:textId="77777777" w:rsidR="00ED705B" w:rsidRPr="006E0AFE" w:rsidRDefault="00ED705B" w:rsidP="00ED705B">
      <w:pPr>
        <w:jc w:val="both"/>
        <w:rPr>
          <w:lang w:eastAsia="en-US"/>
        </w:rPr>
      </w:pPr>
    </w:p>
    <w:p w14:paraId="2A0D46A3" w14:textId="77777777" w:rsidR="00ED705B" w:rsidRPr="006E0AFE" w:rsidRDefault="00ED705B" w:rsidP="00ED705B">
      <w:pPr>
        <w:jc w:val="both"/>
        <w:rPr>
          <w:lang w:eastAsia="en-US"/>
        </w:rPr>
      </w:pPr>
    </w:p>
    <w:p w14:paraId="5A5B97E8" w14:textId="77777777" w:rsidR="00ED705B" w:rsidRPr="006E0AFE" w:rsidRDefault="00ED705B" w:rsidP="00ED705B">
      <w:pPr>
        <w:jc w:val="both"/>
        <w:rPr>
          <w:lang w:eastAsia="en-US"/>
        </w:rPr>
      </w:pPr>
    </w:p>
    <w:p w14:paraId="06DF7E12" w14:textId="77777777" w:rsidR="00ED705B" w:rsidRPr="006E0AFE" w:rsidRDefault="00ED705B" w:rsidP="00ED705B">
      <w:pPr>
        <w:jc w:val="both"/>
        <w:rPr>
          <w:lang w:eastAsia="en-US"/>
        </w:rPr>
      </w:pPr>
    </w:p>
    <w:p w14:paraId="46F42366" w14:textId="77777777" w:rsidR="00ED705B" w:rsidRPr="006E0AFE" w:rsidRDefault="00ED705B" w:rsidP="00ED705B">
      <w:pPr>
        <w:jc w:val="both"/>
        <w:rPr>
          <w:lang w:eastAsia="en-US"/>
        </w:rPr>
      </w:pPr>
      <w:r w:rsidRPr="006E0AFE">
        <w:rPr>
          <w:lang w:eastAsia="en-US"/>
        </w:rPr>
        <w:t xml:space="preserve">Rashodi i izdaci </w:t>
      </w:r>
      <w:r w:rsidRPr="006E0AFE">
        <w:rPr>
          <w:b/>
          <w:lang w:eastAsia="en-US"/>
        </w:rPr>
        <w:t>Proračuna za 2021. godinu</w:t>
      </w:r>
      <w:r w:rsidRPr="006E0AFE">
        <w:rPr>
          <w:lang w:eastAsia="en-US"/>
        </w:rPr>
        <w:t xml:space="preserve"> ukupno su niži u odnosu na planirane rashode i izdatke za 2020. godinu (-20,3%). Gledajući visinu planiranih iznosa po pojedinim vrstama rashoda u odnosu na ukupan Proračun za 2021. godinu, </w:t>
      </w:r>
      <w:r w:rsidRPr="006E0AFE">
        <w:rPr>
          <w:u w:val="single"/>
          <w:lang w:eastAsia="en-US"/>
        </w:rPr>
        <w:t>Rashodi poslovanja</w:t>
      </w:r>
      <w:r w:rsidRPr="006E0AFE">
        <w:rPr>
          <w:lang w:eastAsia="en-US"/>
        </w:rPr>
        <w:t xml:space="preserve"> sudjeluju sa 50,2%, </w:t>
      </w:r>
      <w:r w:rsidRPr="006E0AFE">
        <w:rPr>
          <w:u w:val="single"/>
          <w:lang w:eastAsia="en-US"/>
        </w:rPr>
        <w:t>rashodi za nabavu dugotrajne imovine</w:t>
      </w:r>
      <w:r w:rsidRPr="006E0AFE">
        <w:rPr>
          <w:lang w:eastAsia="en-US"/>
        </w:rPr>
        <w:t xml:space="preserve"> sa 48,1%, dok se 1,7% odnosi na </w:t>
      </w:r>
      <w:r w:rsidRPr="006E0AFE">
        <w:rPr>
          <w:u w:val="single"/>
          <w:lang w:eastAsia="en-US"/>
        </w:rPr>
        <w:t>izdatke za financijsku imovinu i otplate zajmova</w:t>
      </w:r>
      <w:r w:rsidRPr="006E0AFE">
        <w:rPr>
          <w:lang w:eastAsia="en-US"/>
        </w:rPr>
        <w:t>. U odnosu na 2020. godinu smanjio se udio rashoda za nabavu dugotrajne imovine, budući su ove godine planirane brojne investicije u dugotrajnu imovinu tako da je učešće tih rashoda u ukupnim rashodima i izdacima bilo 56,7% dok se u 2021. godini planira manji obim investicija.</w:t>
      </w:r>
    </w:p>
    <w:p w14:paraId="1EFED600" w14:textId="77777777" w:rsidR="00ED705B" w:rsidRPr="006E0AFE" w:rsidRDefault="00ED705B" w:rsidP="00ED705B">
      <w:pPr>
        <w:jc w:val="both"/>
        <w:rPr>
          <w:lang w:eastAsia="en-US"/>
        </w:rPr>
      </w:pPr>
      <w:r w:rsidRPr="006E0AFE">
        <w:rPr>
          <w:lang w:eastAsia="en-US"/>
        </w:rPr>
        <w:t xml:space="preserve">U </w:t>
      </w:r>
      <w:r w:rsidRPr="006E0AFE">
        <w:rPr>
          <w:b/>
          <w:lang w:eastAsia="en-US"/>
        </w:rPr>
        <w:t>Projekciji Proračuna</w:t>
      </w:r>
      <w:r w:rsidRPr="006E0AFE">
        <w:rPr>
          <w:lang w:eastAsia="en-US"/>
        </w:rPr>
        <w:t xml:space="preserve"> </w:t>
      </w:r>
      <w:r w:rsidRPr="006E0AFE">
        <w:rPr>
          <w:b/>
          <w:lang w:eastAsia="en-US"/>
        </w:rPr>
        <w:t>za 2022. i 2023. godinu</w:t>
      </w:r>
      <w:r w:rsidRPr="006E0AFE">
        <w:rPr>
          <w:lang w:eastAsia="en-US"/>
        </w:rPr>
        <w:t xml:space="preserve"> udio rashoda poslovanja u ukupnom Proračunu raste i iznosi 56,7% u 2021. i 55,6% u 2022. godini, dok se smanjuje udio rashoda za nabavu dugotrajne imovine i iznosi 38,3% u 2021. i 39,1% u 2022. godini. Udio za izdatke za otplatu zajmova se povećava na 5% u 2021. i 5,3% u 2023. iz razloga što počinje otplata kredita korištenih u 2019. i 2020. godini.</w:t>
      </w:r>
    </w:p>
    <w:p w14:paraId="31647E97" w14:textId="77777777" w:rsidR="00ED705B" w:rsidRPr="006E0AFE" w:rsidRDefault="00ED705B" w:rsidP="00ED705B">
      <w:pPr>
        <w:jc w:val="both"/>
        <w:rPr>
          <w:lang w:eastAsia="en-US"/>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1361"/>
        <w:gridCol w:w="1433"/>
        <w:gridCol w:w="1494"/>
        <w:gridCol w:w="1494"/>
      </w:tblGrid>
      <w:tr w:rsidR="00ED705B" w:rsidRPr="006E0AFE" w14:paraId="6A669830" w14:textId="77777777" w:rsidTr="002A1EDD">
        <w:trPr>
          <w:trHeight w:val="510"/>
          <w:jc w:val="center"/>
        </w:trPr>
        <w:tc>
          <w:tcPr>
            <w:tcW w:w="3880" w:type="dxa"/>
            <w:shd w:val="clear" w:color="auto" w:fill="auto"/>
            <w:noWrap/>
            <w:vAlign w:val="bottom"/>
            <w:hideMark/>
          </w:tcPr>
          <w:p w14:paraId="7759305B" w14:textId="77777777" w:rsidR="00ED705B" w:rsidRPr="006E0AFE" w:rsidRDefault="00ED705B" w:rsidP="00ED705B">
            <w:pPr>
              <w:rPr>
                <w:sz w:val="20"/>
                <w:szCs w:val="20"/>
              </w:rPr>
            </w:pPr>
          </w:p>
        </w:tc>
        <w:tc>
          <w:tcPr>
            <w:tcW w:w="1361" w:type="dxa"/>
            <w:shd w:val="clear" w:color="auto" w:fill="auto"/>
            <w:vAlign w:val="bottom"/>
            <w:hideMark/>
          </w:tcPr>
          <w:p w14:paraId="33A11A88" w14:textId="77777777" w:rsidR="00ED705B" w:rsidRPr="006E0AFE" w:rsidRDefault="00ED705B" w:rsidP="00ED705B">
            <w:pPr>
              <w:jc w:val="center"/>
              <w:rPr>
                <w:b/>
                <w:sz w:val="20"/>
                <w:szCs w:val="20"/>
              </w:rPr>
            </w:pPr>
            <w:r w:rsidRPr="006E0AFE">
              <w:rPr>
                <w:b/>
                <w:sz w:val="20"/>
                <w:szCs w:val="20"/>
              </w:rPr>
              <w:t>PRORAČUN 2020</w:t>
            </w:r>
          </w:p>
        </w:tc>
        <w:tc>
          <w:tcPr>
            <w:tcW w:w="1433" w:type="dxa"/>
            <w:shd w:val="clear" w:color="auto" w:fill="auto"/>
            <w:vAlign w:val="bottom"/>
            <w:hideMark/>
          </w:tcPr>
          <w:p w14:paraId="46839678" w14:textId="77777777" w:rsidR="00ED705B" w:rsidRPr="006E0AFE" w:rsidRDefault="00ED705B" w:rsidP="00ED705B">
            <w:pPr>
              <w:jc w:val="center"/>
              <w:rPr>
                <w:b/>
                <w:sz w:val="20"/>
                <w:szCs w:val="20"/>
              </w:rPr>
            </w:pPr>
            <w:r w:rsidRPr="006E0AFE">
              <w:rPr>
                <w:b/>
                <w:sz w:val="20"/>
                <w:szCs w:val="20"/>
              </w:rPr>
              <w:t>PRORAČUN 2021</w:t>
            </w:r>
          </w:p>
        </w:tc>
        <w:tc>
          <w:tcPr>
            <w:tcW w:w="1494" w:type="dxa"/>
            <w:shd w:val="clear" w:color="auto" w:fill="auto"/>
            <w:vAlign w:val="bottom"/>
            <w:hideMark/>
          </w:tcPr>
          <w:p w14:paraId="413042E0" w14:textId="77777777" w:rsidR="00ED705B" w:rsidRPr="006E0AFE" w:rsidRDefault="00ED705B" w:rsidP="00ED705B">
            <w:pPr>
              <w:jc w:val="center"/>
              <w:rPr>
                <w:b/>
                <w:sz w:val="20"/>
                <w:szCs w:val="20"/>
              </w:rPr>
            </w:pPr>
            <w:r w:rsidRPr="006E0AFE">
              <w:rPr>
                <w:b/>
                <w:sz w:val="20"/>
                <w:szCs w:val="20"/>
              </w:rPr>
              <w:t>PROJEKCIJA 2022</w:t>
            </w:r>
          </w:p>
        </w:tc>
        <w:tc>
          <w:tcPr>
            <w:tcW w:w="1494" w:type="dxa"/>
            <w:shd w:val="clear" w:color="auto" w:fill="auto"/>
            <w:vAlign w:val="bottom"/>
            <w:hideMark/>
          </w:tcPr>
          <w:p w14:paraId="73825793" w14:textId="77777777" w:rsidR="00ED705B" w:rsidRPr="006E0AFE" w:rsidRDefault="00ED705B" w:rsidP="00ED705B">
            <w:pPr>
              <w:jc w:val="center"/>
              <w:rPr>
                <w:b/>
                <w:sz w:val="20"/>
                <w:szCs w:val="20"/>
              </w:rPr>
            </w:pPr>
            <w:r w:rsidRPr="006E0AFE">
              <w:rPr>
                <w:b/>
                <w:sz w:val="20"/>
                <w:szCs w:val="20"/>
              </w:rPr>
              <w:t>PROJEKCIJA 2023</w:t>
            </w:r>
          </w:p>
        </w:tc>
      </w:tr>
      <w:tr w:rsidR="00ED705B" w:rsidRPr="006E0AFE" w14:paraId="24D22452" w14:textId="77777777" w:rsidTr="002A1EDD">
        <w:trPr>
          <w:trHeight w:val="255"/>
          <w:jc w:val="center"/>
        </w:trPr>
        <w:tc>
          <w:tcPr>
            <w:tcW w:w="3880" w:type="dxa"/>
            <w:shd w:val="clear" w:color="auto" w:fill="auto"/>
            <w:noWrap/>
            <w:vAlign w:val="bottom"/>
            <w:hideMark/>
          </w:tcPr>
          <w:p w14:paraId="7CE957F4" w14:textId="77777777" w:rsidR="00ED705B" w:rsidRPr="006E0AFE" w:rsidRDefault="00ED705B" w:rsidP="00ED705B">
            <w:pPr>
              <w:rPr>
                <w:sz w:val="20"/>
                <w:szCs w:val="20"/>
              </w:rPr>
            </w:pPr>
            <w:r w:rsidRPr="006E0AFE">
              <w:rPr>
                <w:sz w:val="20"/>
                <w:szCs w:val="20"/>
              </w:rPr>
              <w:t>1. RASHODI POSLOVANJA - udio</w:t>
            </w:r>
          </w:p>
        </w:tc>
        <w:tc>
          <w:tcPr>
            <w:tcW w:w="1361" w:type="dxa"/>
            <w:shd w:val="clear" w:color="auto" w:fill="auto"/>
            <w:noWrap/>
            <w:vAlign w:val="center"/>
            <w:hideMark/>
          </w:tcPr>
          <w:p w14:paraId="1EE028C6" w14:textId="77777777" w:rsidR="00ED705B" w:rsidRPr="006E0AFE" w:rsidRDefault="00ED705B" w:rsidP="00ED705B">
            <w:pPr>
              <w:jc w:val="center"/>
              <w:rPr>
                <w:sz w:val="20"/>
                <w:szCs w:val="20"/>
              </w:rPr>
            </w:pPr>
            <w:r w:rsidRPr="006E0AFE">
              <w:rPr>
                <w:sz w:val="20"/>
                <w:szCs w:val="20"/>
              </w:rPr>
              <w:t>42,0 %</w:t>
            </w:r>
          </w:p>
        </w:tc>
        <w:tc>
          <w:tcPr>
            <w:tcW w:w="1433" w:type="dxa"/>
            <w:shd w:val="clear" w:color="auto" w:fill="auto"/>
            <w:noWrap/>
            <w:vAlign w:val="center"/>
            <w:hideMark/>
          </w:tcPr>
          <w:p w14:paraId="1888F498" w14:textId="77777777" w:rsidR="00ED705B" w:rsidRPr="006E0AFE" w:rsidRDefault="00ED705B" w:rsidP="00ED705B">
            <w:pPr>
              <w:jc w:val="center"/>
              <w:rPr>
                <w:sz w:val="20"/>
                <w:szCs w:val="20"/>
              </w:rPr>
            </w:pPr>
            <w:r w:rsidRPr="006E0AFE">
              <w:rPr>
                <w:sz w:val="20"/>
                <w:szCs w:val="20"/>
              </w:rPr>
              <w:t>50,2 %</w:t>
            </w:r>
          </w:p>
        </w:tc>
        <w:tc>
          <w:tcPr>
            <w:tcW w:w="1494" w:type="dxa"/>
            <w:shd w:val="clear" w:color="auto" w:fill="auto"/>
            <w:noWrap/>
            <w:vAlign w:val="center"/>
            <w:hideMark/>
          </w:tcPr>
          <w:p w14:paraId="591C3BB1" w14:textId="77777777" w:rsidR="00ED705B" w:rsidRPr="006E0AFE" w:rsidRDefault="00ED705B" w:rsidP="00ED705B">
            <w:pPr>
              <w:jc w:val="center"/>
              <w:rPr>
                <w:sz w:val="20"/>
                <w:szCs w:val="20"/>
              </w:rPr>
            </w:pPr>
            <w:r w:rsidRPr="006E0AFE">
              <w:rPr>
                <w:sz w:val="20"/>
                <w:szCs w:val="20"/>
              </w:rPr>
              <w:t>56,7 %</w:t>
            </w:r>
          </w:p>
        </w:tc>
        <w:tc>
          <w:tcPr>
            <w:tcW w:w="1494" w:type="dxa"/>
            <w:shd w:val="clear" w:color="auto" w:fill="auto"/>
            <w:noWrap/>
            <w:vAlign w:val="center"/>
            <w:hideMark/>
          </w:tcPr>
          <w:p w14:paraId="2B2AD24A" w14:textId="77777777" w:rsidR="00ED705B" w:rsidRPr="006E0AFE" w:rsidRDefault="00ED705B" w:rsidP="00ED705B">
            <w:pPr>
              <w:jc w:val="center"/>
              <w:rPr>
                <w:sz w:val="20"/>
                <w:szCs w:val="20"/>
              </w:rPr>
            </w:pPr>
            <w:r w:rsidRPr="006E0AFE">
              <w:rPr>
                <w:sz w:val="20"/>
                <w:szCs w:val="20"/>
              </w:rPr>
              <w:t>55,6 %</w:t>
            </w:r>
          </w:p>
        </w:tc>
      </w:tr>
      <w:tr w:rsidR="00ED705B" w:rsidRPr="006E0AFE" w14:paraId="40F1A621" w14:textId="77777777" w:rsidTr="002A1EDD">
        <w:trPr>
          <w:trHeight w:val="255"/>
          <w:jc w:val="center"/>
        </w:trPr>
        <w:tc>
          <w:tcPr>
            <w:tcW w:w="3880" w:type="dxa"/>
            <w:shd w:val="clear" w:color="auto" w:fill="auto"/>
            <w:noWrap/>
            <w:vAlign w:val="bottom"/>
            <w:hideMark/>
          </w:tcPr>
          <w:p w14:paraId="2CC8238C" w14:textId="77777777" w:rsidR="00ED705B" w:rsidRPr="006E0AFE" w:rsidRDefault="00ED705B" w:rsidP="00ED705B">
            <w:pPr>
              <w:rPr>
                <w:sz w:val="20"/>
                <w:szCs w:val="20"/>
              </w:rPr>
            </w:pPr>
            <w:r w:rsidRPr="006E0AFE">
              <w:rPr>
                <w:sz w:val="20"/>
                <w:szCs w:val="20"/>
              </w:rPr>
              <w:t>2. RASHODI ZA NABAVU NEFINANCIJSKE IMOVINE - udio</w:t>
            </w:r>
          </w:p>
        </w:tc>
        <w:tc>
          <w:tcPr>
            <w:tcW w:w="1361" w:type="dxa"/>
            <w:shd w:val="clear" w:color="auto" w:fill="auto"/>
            <w:noWrap/>
            <w:vAlign w:val="center"/>
            <w:hideMark/>
          </w:tcPr>
          <w:p w14:paraId="15088FD3" w14:textId="77777777" w:rsidR="00ED705B" w:rsidRPr="006E0AFE" w:rsidRDefault="00ED705B" w:rsidP="00ED705B">
            <w:pPr>
              <w:jc w:val="center"/>
              <w:rPr>
                <w:sz w:val="20"/>
                <w:szCs w:val="20"/>
              </w:rPr>
            </w:pPr>
            <w:r w:rsidRPr="006E0AFE">
              <w:rPr>
                <w:sz w:val="20"/>
                <w:szCs w:val="20"/>
              </w:rPr>
              <w:t>56,7 %</w:t>
            </w:r>
          </w:p>
        </w:tc>
        <w:tc>
          <w:tcPr>
            <w:tcW w:w="1433" w:type="dxa"/>
            <w:shd w:val="clear" w:color="auto" w:fill="auto"/>
            <w:noWrap/>
            <w:vAlign w:val="center"/>
            <w:hideMark/>
          </w:tcPr>
          <w:p w14:paraId="04823C97" w14:textId="77777777" w:rsidR="00ED705B" w:rsidRPr="006E0AFE" w:rsidRDefault="00ED705B" w:rsidP="00ED705B">
            <w:pPr>
              <w:jc w:val="center"/>
              <w:rPr>
                <w:sz w:val="20"/>
                <w:szCs w:val="20"/>
              </w:rPr>
            </w:pPr>
            <w:r w:rsidRPr="006E0AFE">
              <w:rPr>
                <w:sz w:val="20"/>
                <w:szCs w:val="20"/>
              </w:rPr>
              <w:t>48,1 %</w:t>
            </w:r>
          </w:p>
        </w:tc>
        <w:tc>
          <w:tcPr>
            <w:tcW w:w="1494" w:type="dxa"/>
            <w:shd w:val="clear" w:color="auto" w:fill="auto"/>
            <w:noWrap/>
            <w:vAlign w:val="center"/>
            <w:hideMark/>
          </w:tcPr>
          <w:p w14:paraId="135B2368" w14:textId="77777777" w:rsidR="00ED705B" w:rsidRPr="006E0AFE" w:rsidRDefault="00ED705B" w:rsidP="00ED705B">
            <w:pPr>
              <w:jc w:val="center"/>
              <w:rPr>
                <w:sz w:val="20"/>
                <w:szCs w:val="20"/>
              </w:rPr>
            </w:pPr>
            <w:r w:rsidRPr="006E0AFE">
              <w:rPr>
                <w:sz w:val="20"/>
                <w:szCs w:val="20"/>
              </w:rPr>
              <w:t>38,3 %</w:t>
            </w:r>
          </w:p>
        </w:tc>
        <w:tc>
          <w:tcPr>
            <w:tcW w:w="1494" w:type="dxa"/>
            <w:shd w:val="clear" w:color="auto" w:fill="auto"/>
            <w:noWrap/>
            <w:vAlign w:val="center"/>
            <w:hideMark/>
          </w:tcPr>
          <w:p w14:paraId="2A6A0940" w14:textId="77777777" w:rsidR="00ED705B" w:rsidRPr="006E0AFE" w:rsidRDefault="00ED705B" w:rsidP="00ED705B">
            <w:pPr>
              <w:jc w:val="center"/>
              <w:rPr>
                <w:sz w:val="20"/>
                <w:szCs w:val="20"/>
              </w:rPr>
            </w:pPr>
            <w:r w:rsidRPr="006E0AFE">
              <w:rPr>
                <w:sz w:val="20"/>
                <w:szCs w:val="20"/>
              </w:rPr>
              <w:t>39,1 %</w:t>
            </w:r>
          </w:p>
        </w:tc>
      </w:tr>
      <w:tr w:rsidR="00ED705B" w:rsidRPr="006E0AFE" w14:paraId="6D0F9F97" w14:textId="77777777" w:rsidTr="002A1EDD">
        <w:trPr>
          <w:trHeight w:val="255"/>
          <w:jc w:val="center"/>
        </w:trPr>
        <w:tc>
          <w:tcPr>
            <w:tcW w:w="3880" w:type="dxa"/>
            <w:shd w:val="clear" w:color="auto" w:fill="auto"/>
            <w:noWrap/>
            <w:vAlign w:val="bottom"/>
            <w:hideMark/>
          </w:tcPr>
          <w:p w14:paraId="117F1D94" w14:textId="77777777" w:rsidR="00ED705B" w:rsidRPr="006E0AFE" w:rsidRDefault="00ED705B" w:rsidP="00ED705B">
            <w:pPr>
              <w:rPr>
                <w:sz w:val="20"/>
                <w:szCs w:val="20"/>
              </w:rPr>
            </w:pPr>
            <w:r w:rsidRPr="006E0AFE">
              <w:rPr>
                <w:sz w:val="20"/>
                <w:szCs w:val="20"/>
              </w:rPr>
              <w:t>3. IZDACI ZA FINANCIJSKU IMOVINU I OTPLATE ZAJMOVA - udio</w:t>
            </w:r>
          </w:p>
        </w:tc>
        <w:tc>
          <w:tcPr>
            <w:tcW w:w="1361" w:type="dxa"/>
            <w:shd w:val="clear" w:color="auto" w:fill="auto"/>
            <w:noWrap/>
            <w:vAlign w:val="center"/>
            <w:hideMark/>
          </w:tcPr>
          <w:p w14:paraId="549E6538" w14:textId="77777777" w:rsidR="00ED705B" w:rsidRPr="006E0AFE" w:rsidRDefault="00ED705B" w:rsidP="00ED705B">
            <w:pPr>
              <w:jc w:val="center"/>
              <w:rPr>
                <w:sz w:val="20"/>
                <w:szCs w:val="20"/>
              </w:rPr>
            </w:pPr>
            <w:r w:rsidRPr="006E0AFE">
              <w:rPr>
                <w:sz w:val="20"/>
                <w:szCs w:val="20"/>
              </w:rPr>
              <w:t>1,3 %</w:t>
            </w:r>
          </w:p>
        </w:tc>
        <w:tc>
          <w:tcPr>
            <w:tcW w:w="1433" w:type="dxa"/>
            <w:shd w:val="clear" w:color="auto" w:fill="auto"/>
            <w:noWrap/>
            <w:vAlign w:val="center"/>
            <w:hideMark/>
          </w:tcPr>
          <w:p w14:paraId="5B9E06DC" w14:textId="77777777" w:rsidR="00ED705B" w:rsidRPr="006E0AFE" w:rsidRDefault="00ED705B" w:rsidP="00ED705B">
            <w:pPr>
              <w:jc w:val="center"/>
              <w:rPr>
                <w:sz w:val="20"/>
                <w:szCs w:val="20"/>
              </w:rPr>
            </w:pPr>
            <w:r w:rsidRPr="006E0AFE">
              <w:rPr>
                <w:sz w:val="20"/>
                <w:szCs w:val="20"/>
              </w:rPr>
              <w:t>1,7 %</w:t>
            </w:r>
          </w:p>
        </w:tc>
        <w:tc>
          <w:tcPr>
            <w:tcW w:w="1494" w:type="dxa"/>
            <w:shd w:val="clear" w:color="auto" w:fill="auto"/>
            <w:noWrap/>
            <w:vAlign w:val="center"/>
            <w:hideMark/>
          </w:tcPr>
          <w:p w14:paraId="587A06E1" w14:textId="77777777" w:rsidR="00ED705B" w:rsidRPr="006E0AFE" w:rsidRDefault="00ED705B" w:rsidP="00ED705B">
            <w:pPr>
              <w:jc w:val="center"/>
              <w:rPr>
                <w:sz w:val="20"/>
                <w:szCs w:val="20"/>
              </w:rPr>
            </w:pPr>
            <w:r w:rsidRPr="006E0AFE">
              <w:rPr>
                <w:sz w:val="20"/>
                <w:szCs w:val="20"/>
              </w:rPr>
              <w:t>5,0 %</w:t>
            </w:r>
          </w:p>
        </w:tc>
        <w:tc>
          <w:tcPr>
            <w:tcW w:w="1494" w:type="dxa"/>
            <w:shd w:val="clear" w:color="auto" w:fill="auto"/>
            <w:noWrap/>
            <w:vAlign w:val="center"/>
            <w:hideMark/>
          </w:tcPr>
          <w:p w14:paraId="5C66C139" w14:textId="77777777" w:rsidR="00ED705B" w:rsidRPr="006E0AFE" w:rsidRDefault="00ED705B" w:rsidP="00ED705B">
            <w:pPr>
              <w:jc w:val="center"/>
              <w:rPr>
                <w:sz w:val="20"/>
                <w:szCs w:val="20"/>
              </w:rPr>
            </w:pPr>
            <w:r w:rsidRPr="006E0AFE">
              <w:rPr>
                <w:sz w:val="20"/>
                <w:szCs w:val="20"/>
              </w:rPr>
              <w:t>5,3 %</w:t>
            </w:r>
          </w:p>
        </w:tc>
      </w:tr>
      <w:tr w:rsidR="00ED705B" w:rsidRPr="006E0AFE" w14:paraId="1B76443A" w14:textId="77777777" w:rsidTr="002A1EDD">
        <w:trPr>
          <w:trHeight w:val="255"/>
          <w:jc w:val="center"/>
        </w:trPr>
        <w:tc>
          <w:tcPr>
            <w:tcW w:w="3880" w:type="dxa"/>
            <w:shd w:val="clear" w:color="auto" w:fill="auto"/>
            <w:noWrap/>
            <w:vAlign w:val="bottom"/>
          </w:tcPr>
          <w:p w14:paraId="0B6A55AD" w14:textId="77777777" w:rsidR="00ED705B" w:rsidRPr="006E0AFE" w:rsidRDefault="00ED705B" w:rsidP="00ED705B">
            <w:pPr>
              <w:rPr>
                <w:sz w:val="20"/>
                <w:szCs w:val="20"/>
              </w:rPr>
            </w:pPr>
          </w:p>
        </w:tc>
        <w:tc>
          <w:tcPr>
            <w:tcW w:w="1361" w:type="dxa"/>
            <w:shd w:val="clear" w:color="auto" w:fill="auto"/>
            <w:noWrap/>
            <w:vAlign w:val="center"/>
          </w:tcPr>
          <w:p w14:paraId="09657E08" w14:textId="77777777" w:rsidR="00ED705B" w:rsidRPr="006E0AFE" w:rsidRDefault="00ED705B" w:rsidP="00ED705B">
            <w:pPr>
              <w:jc w:val="center"/>
              <w:rPr>
                <w:sz w:val="20"/>
                <w:szCs w:val="20"/>
              </w:rPr>
            </w:pPr>
            <w:r w:rsidRPr="006E0AFE">
              <w:rPr>
                <w:sz w:val="20"/>
                <w:szCs w:val="20"/>
              </w:rPr>
              <w:t>100%</w:t>
            </w:r>
          </w:p>
        </w:tc>
        <w:tc>
          <w:tcPr>
            <w:tcW w:w="1433" w:type="dxa"/>
            <w:shd w:val="clear" w:color="auto" w:fill="auto"/>
            <w:noWrap/>
            <w:vAlign w:val="center"/>
          </w:tcPr>
          <w:p w14:paraId="15A0A484" w14:textId="77777777" w:rsidR="00ED705B" w:rsidRPr="006E0AFE" w:rsidRDefault="00ED705B" w:rsidP="00ED705B">
            <w:pPr>
              <w:jc w:val="center"/>
              <w:rPr>
                <w:sz w:val="20"/>
                <w:szCs w:val="20"/>
              </w:rPr>
            </w:pPr>
            <w:r w:rsidRPr="006E0AFE">
              <w:rPr>
                <w:sz w:val="20"/>
                <w:szCs w:val="20"/>
              </w:rPr>
              <w:t>100%</w:t>
            </w:r>
          </w:p>
        </w:tc>
        <w:tc>
          <w:tcPr>
            <w:tcW w:w="1494" w:type="dxa"/>
            <w:shd w:val="clear" w:color="auto" w:fill="auto"/>
            <w:noWrap/>
            <w:vAlign w:val="center"/>
          </w:tcPr>
          <w:p w14:paraId="4ED42ADA" w14:textId="77777777" w:rsidR="00ED705B" w:rsidRPr="006E0AFE" w:rsidRDefault="00ED705B" w:rsidP="00ED705B">
            <w:pPr>
              <w:jc w:val="center"/>
              <w:rPr>
                <w:sz w:val="20"/>
                <w:szCs w:val="20"/>
              </w:rPr>
            </w:pPr>
            <w:r w:rsidRPr="006E0AFE">
              <w:rPr>
                <w:sz w:val="20"/>
                <w:szCs w:val="20"/>
              </w:rPr>
              <w:t>100%</w:t>
            </w:r>
          </w:p>
        </w:tc>
        <w:tc>
          <w:tcPr>
            <w:tcW w:w="1494" w:type="dxa"/>
            <w:shd w:val="clear" w:color="auto" w:fill="auto"/>
            <w:noWrap/>
            <w:vAlign w:val="center"/>
          </w:tcPr>
          <w:p w14:paraId="3C7CD14D" w14:textId="77777777" w:rsidR="00ED705B" w:rsidRPr="006E0AFE" w:rsidRDefault="00ED705B" w:rsidP="00ED705B">
            <w:pPr>
              <w:jc w:val="center"/>
              <w:rPr>
                <w:sz w:val="20"/>
                <w:szCs w:val="20"/>
              </w:rPr>
            </w:pPr>
            <w:r w:rsidRPr="006E0AFE">
              <w:rPr>
                <w:sz w:val="20"/>
                <w:szCs w:val="20"/>
              </w:rPr>
              <w:t>100%</w:t>
            </w:r>
          </w:p>
        </w:tc>
      </w:tr>
    </w:tbl>
    <w:p w14:paraId="232422F7" w14:textId="77777777" w:rsidR="00ED705B" w:rsidRPr="006E0AFE" w:rsidRDefault="00ED705B" w:rsidP="00ED705B">
      <w:pPr>
        <w:tabs>
          <w:tab w:val="left" w:pos="709"/>
          <w:tab w:val="right" w:pos="5670"/>
          <w:tab w:val="right" w:pos="7513"/>
        </w:tabs>
        <w:ind w:left="644"/>
        <w:jc w:val="both"/>
        <w:rPr>
          <w:b/>
          <w:i/>
          <w:iCs/>
          <w:u w:val="single"/>
          <w:lang w:eastAsia="en-US"/>
        </w:rPr>
      </w:pPr>
    </w:p>
    <w:p w14:paraId="3C5E128E" w14:textId="77777777" w:rsidR="00ED705B" w:rsidRPr="006E0AFE" w:rsidRDefault="00ED705B" w:rsidP="00ED705B">
      <w:pPr>
        <w:tabs>
          <w:tab w:val="left" w:pos="709"/>
          <w:tab w:val="right" w:pos="5670"/>
          <w:tab w:val="right" w:pos="7513"/>
        </w:tabs>
        <w:ind w:left="644"/>
        <w:jc w:val="both"/>
        <w:rPr>
          <w:b/>
          <w:i/>
          <w:iCs/>
          <w:u w:val="single"/>
          <w:lang w:eastAsia="en-US"/>
        </w:rPr>
      </w:pPr>
    </w:p>
    <w:p w14:paraId="7FFAAD98" w14:textId="77777777" w:rsidR="00D0710F" w:rsidRPr="006E0AFE" w:rsidRDefault="00D0710F" w:rsidP="00ED705B">
      <w:pPr>
        <w:tabs>
          <w:tab w:val="left" w:pos="709"/>
          <w:tab w:val="right" w:pos="5670"/>
          <w:tab w:val="right" w:pos="7513"/>
        </w:tabs>
        <w:ind w:left="644"/>
        <w:jc w:val="both"/>
        <w:rPr>
          <w:b/>
          <w:i/>
          <w:iCs/>
          <w:u w:val="single"/>
          <w:lang w:eastAsia="en-US"/>
        </w:rPr>
      </w:pPr>
    </w:p>
    <w:p w14:paraId="4EE2A285" w14:textId="347DAE92" w:rsidR="00D0710F" w:rsidRDefault="00D0710F" w:rsidP="00ED705B">
      <w:pPr>
        <w:tabs>
          <w:tab w:val="left" w:pos="709"/>
          <w:tab w:val="right" w:pos="5670"/>
          <w:tab w:val="right" w:pos="7513"/>
        </w:tabs>
        <w:ind w:left="644"/>
        <w:jc w:val="both"/>
        <w:rPr>
          <w:b/>
          <w:i/>
          <w:iCs/>
          <w:u w:val="single"/>
          <w:lang w:eastAsia="en-US"/>
        </w:rPr>
      </w:pPr>
    </w:p>
    <w:p w14:paraId="549ED800" w14:textId="6CD16458" w:rsidR="002A1EDD" w:rsidRDefault="002A1EDD" w:rsidP="00ED705B">
      <w:pPr>
        <w:tabs>
          <w:tab w:val="left" w:pos="709"/>
          <w:tab w:val="right" w:pos="5670"/>
          <w:tab w:val="right" w:pos="7513"/>
        </w:tabs>
        <w:ind w:left="644"/>
        <w:jc w:val="both"/>
        <w:rPr>
          <w:b/>
          <w:i/>
          <w:iCs/>
          <w:u w:val="single"/>
          <w:lang w:eastAsia="en-US"/>
        </w:rPr>
      </w:pPr>
    </w:p>
    <w:p w14:paraId="380376D6" w14:textId="77777777" w:rsidR="002A1EDD" w:rsidRPr="006E0AFE" w:rsidRDefault="002A1EDD" w:rsidP="00ED705B">
      <w:pPr>
        <w:tabs>
          <w:tab w:val="left" w:pos="709"/>
          <w:tab w:val="right" w:pos="5670"/>
          <w:tab w:val="right" w:pos="7513"/>
        </w:tabs>
        <w:ind w:left="644"/>
        <w:jc w:val="both"/>
        <w:rPr>
          <w:b/>
          <w:i/>
          <w:iCs/>
          <w:u w:val="single"/>
          <w:lang w:eastAsia="en-US"/>
        </w:rPr>
      </w:pPr>
    </w:p>
    <w:p w14:paraId="67819D5C" w14:textId="77777777" w:rsidR="00D0710F" w:rsidRPr="006E0AFE" w:rsidRDefault="00D0710F" w:rsidP="00ED705B">
      <w:pPr>
        <w:tabs>
          <w:tab w:val="left" w:pos="709"/>
          <w:tab w:val="right" w:pos="5670"/>
          <w:tab w:val="right" w:pos="7513"/>
        </w:tabs>
        <w:ind w:left="644"/>
        <w:jc w:val="both"/>
        <w:rPr>
          <w:b/>
          <w:i/>
          <w:iCs/>
          <w:u w:val="single"/>
          <w:lang w:eastAsia="en-US"/>
        </w:rPr>
      </w:pPr>
    </w:p>
    <w:p w14:paraId="727EB27A" w14:textId="77777777" w:rsidR="00ED705B" w:rsidRPr="006E0AFE" w:rsidRDefault="00ED705B" w:rsidP="00ED705B">
      <w:pPr>
        <w:numPr>
          <w:ilvl w:val="0"/>
          <w:numId w:val="1"/>
        </w:numPr>
        <w:tabs>
          <w:tab w:val="left" w:pos="709"/>
          <w:tab w:val="right" w:pos="5670"/>
          <w:tab w:val="right" w:pos="7513"/>
        </w:tabs>
        <w:jc w:val="both"/>
        <w:rPr>
          <w:b/>
          <w:i/>
          <w:iCs/>
          <w:u w:val="single"/>
          <w:lang w:eastAsia="en-US"/>
        </w:rPr>
      </w:pPr>
      <w:r w:rsidRPr="006E0AFE">
        <w:rPr>
          <w:b/>
          <w:i/>
          <w:iCs/>
          <w:u w:val="single"/>
          <w:lang w:eastAsia="en-US"/>
        </w:rPr>
        <w:t xml:space="preserve">RASHODI POSLOVANJA </w:t>
      </w:r>
    </w:p>
    <w:p w14:paraId="0191ED48" w14:textId="77777777" w:rsidR="00ED705B" w:rsidRPr="006E0AFE" w:rsidRDefault="00ED705B" w:rsidP="00ED705B">
      <w:pPr>
        <w:tabs>
          <w:tab w:val="left" w:pos="709"/>
          <w:tab w:val="right" w:pos="5670"/>
          <w:tab w:val="right" w:pos="7513"/>
        </w:tabs>
        <w:jc w:val="both"/>
        <w:rPr>
          <w:sz w:val="22"/>
          <w:szCs w:val="22"/>
          <w:lang w:eastAsia="en-US"/>
        </w:rPr>
      </w:pPr>
    </w:p>
    <w:p w14:paraId="5648997A" w14:textId="77777777" w:rsidR="00ED705B" w:rsidRPr="006E0AFE" w:rsidRDefault="00ED705B" w:rsidP="00ED705B">
      <w:pPr>
        <w:ind w:left="720"/>
        <w:jc w:val="both"/>
        <w:rPr>
          <w:lang w:eastAsia="en-US"/>
        </w:rPr>
      </w:pPr>
      <w:r w:rsidRPr="006E0AFE">
        <w:rPr>
          <w:b/>
          <w:lang w:eastAsia="en-US"/>
        </w:rPr>
        <w:t>Rashodi poslovanja</w:t>
      </w:r>
      <w:r w:rsidRPr="006E0AFE">
        <w:rPr>
          <w:lang w:eastAsia="en-US"/>
        </w:rPr>
        <w:t xml:space="preserve"> </w:t>
      </w:r>
      <w:r w:rsidRPr="006E0AFE">
        <w:rPr>
          <w:b/>
          <w:lang w:eastAsia="en-US"/>
        </w:rPr>
        <w:t>za 2021. godinu</w:t>
      </w:r>
      <w:r w:rsidRPr="006E0AFE">
        <w:rPr>
          <w:lang w:eastAsia="en-US"/>
        </w:rPr>
        <w:t xml:space="preserve"> </w:t>
      </w:r>
      <w:r w:rsidRPr="006E0AFE">
        <w:rPr>
          <w:b/>
          <w:bCs/>
          <w:lang w:eastAsia="en-US"/>
        </w:rPr>
        <w:t>te 2022. i 2023. godinu</w:t>
      </w:r>
      <w:r w:rsidRPr="006E0AFE">
        <w:rPr>
          <w:lang w:eastAsia="en-US"/>
        </w:rPr>
        <w:t xml:space="preserve"> planirani su kako slijedi:</w:t>
      </w:r>
    </w:p>
    <w:p w14:paraId="3A34D19C" w14:textId="77777777" w:rsidR="00ED705B" w:rsidRPr="006E0AFE" w:rsidRDefault="00ED705B" w:rsidP="00ED705B">
      <w:pPr>
        <w:ind w:left="720"/>
        <w:jc w:val="both"/>
        <w:rPr>
          <w:lang w:eastAsia="en-US"/>
        </w:rPr>
      </w:pPr>
    </w:p>
    <w:tbl>
      <w:tblPr>
        <w:tblW w:w="10112" w:type="dxa"/>
        <w:tblInd w:w="118" w:type="dxa"/>
        <w:tblLook w:val="04A0" w:firstRow="1" w:lastRow="0" w:firstColumn="1" w:lastColumn="0" w:noHBand="0" w:noVBand="1"/>
      </w:tblPr>
      <w:tblGrid>
        <w:gridCol w:w="2961"/>
        <w:gridCol w:w="1517"/>
        <w:gridCol w:w="1516"/>
        <w:gridCol w:w="1072"/>
        <w:gridCol w:w="1523"/>
        <w:gridCol w:w="1523"/>
      </w:tblGrid>
      <w:tr w:rsidR="00ED705B" w:rsidRPr="006E0AFE" w14:paraId="0F2C2E8E" w14:textId="77777777" w:rsidTr="00C46B71">
        <w:trPr>
          <w:trHeight w:val="510"/>
        </w:trPr>
        <w:tc>
          <w:tcPr>
            <w:tcW w:w="296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75A2F62" w14:textId="77777777" w:rsidR="00ED705B" w:rsidRPr="006E0AFE" w:rsidRDefault="00ED705B" w:rsidP="00ED705B">
            <w:pPr>
              <w:jc w:val="center"/>
              <w:rPr>
                <w:b/>
                <w:bCs/>
                <w:color w:val="000000"/>
                <w:sz w:val="20"/>
                <w:szCs w:val="20"/>
              </w:rPr>
            </w:pPr>
            <w:r w:rsidRPr="006E0AFE">
              <w:rPr>
                <w:b/>
                <w:bCs/>
                <w:color w:val="000000"/>
                <w:sz w:val="20"/>
                <w:szCs w:val="20"/>
              </w:rPr>
              <w:t> 1. RASHODI  POSLOVANJA</w:t>
            </w:r>
          </w:p>
        </w:tc>
        <w:tc>
          <w:tcPr>
            <w:tcW w:w="1517"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9D870AE" w14:textId="77777777" w:rsidR="00ED705B" w:rsidRPr="006E0AFE" w:rsidRDefault="00ED705B" w:rsidP="00ED705B">
            <w:pPr>
              <w:jc w:val="center"/>
              <w:rPr>
                <w:b/>
                <w:bCs/>
                <w:color w:val="000000"/>
                <w:sz w:val="20"/>
                <w:szCs w:val="20"/>
              </w:rPr>
            </w:pPr>
            <w:r w:rsidRPr="006E0AFE">
              <w:rPr>
                <w:b/>
                <w:bCs/>
                <w:color w:val="000000"/>
                <w:sz w:val="20"/>
                <w:szCs w:val="20"/>
              </w:rPr>
              <w:t>PRORAČUN 2020</w:t>
            </w:r>
          </w:p>
        </w:tc>
        <w:tc>
          <w:tcPr>
            <w:tcW w:w="151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F67B83F" w14:textId="77777777" w:rsidR="00ED705B" w:rsidRPr="006E0AFE" w:rsidRDefault="00ED705B" w:rsidP="00ED705B">
            <w:pPr>
              <w:jc w:val="center"/>
              <w:rPr>
                <w:b/>
                <w:bCs/>
                <w:color w:val="000000"/>
                <w:sz w:val="20"/>
                <w:szCs w:val="20"/>
              </w:rPr>
            </w:pPr>
            <w:r w:rsidRPr="006E0AFE">
              <w:rPr>
                <w:b/>
                <w:bCs/>
                <w:color w:val="000000"/>
                <w:sz w:val="20"/>
                <w:szCs w:val="20"/>
              </w:rPr>
              <w:t>PRORAČUN 2021</w:t>
            </w:r>
          </w:p>
        </w:tc>
        <w:tc>
          <w:tcPr>
            <w:tcW w:w="107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9143E99" w14:textId="77777777" w:rsidR="00ED705B" w:rsidRPr="006E0AFE" w:rsidRDefault="00ED705B" w:rsidP="00ED705B">
            <w:pPr>
              <w:jc w:val="center"/>
              <w:rPr>
                <w:b/>
                <w:bCs/>
                <w:color w:val="000000"/>
                <w:sz w:val="20"/>
                <w:szCs w:val="20"/>
              </w:rPr>
            </w:pPr>
            <w:r w:rsidRPr="006E0AFE">
              <w:rPr>
                <w:b/>
                <w:bCs/>
                <w:color w:val="000000"/>
                <w:sz w:val="20"/>
                <w:szCs w:val="20"/>
              </w:rPr>
              <w:t>INDEKS 2021/2020</w:t>
            </w:r>
          </w:p>
        </w:tc>
        <w:tc>
          <w:tcPr>
            <w:tcW w:w="152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8B25B36" w14:textId="77777777" w:rsidR="00ED705B" w:rsidRPr="006E0AFE" w:rsidRDefault="00ED705B" w:rsidP="00ED705B">
            <w:pPr>
              <w:jc w:val="center"/>
              <w:rPr>
                <w:b/>
                <w:bCs/>
                <w:color w:val="000000"/>
                <w:sz w:val="20"/>
                <w:szCs w:val="20"/>
              </w:rPr>
            </w:pPr>
            <w:r w:rsidRPr="006E0AFE">
              <w:rPr>
                <w:b/>
                <w:bCs/>
                <w:color w:val="000000"/>
                <w:sz w:val="20"/>
                <w:szCs w:val="20"/>
              </w:rPr>
              <w:t>PROJEKCIJA 2022</w:t>
            </w:r>
          </w:p>
        </w:tc>
        <w:tc>
          <w:tcPr>
            <w:tcW w:w="152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D61E21C" w14:textId="77777777" w:rsidR="00ED705B" w:rsidRPr="006E0AFE" w:rsidRDefault="00ED705B" w:rsidP="00ED705B">
            <w:pPr>
              <w:jc w:val="center"/>
              <w:rPr>
                <w:b/>
                <w:bCs/>
                <w:color w:val="000000"/>
                <w:sz w:val="20"/>
                <w:szCs w:val="20"/>
              </w:rPr>
            </w:pPr>
            <w:r w:rsidRPr="006E0AFE">
              <w:rPr>
                <w:b/>
                <w:bCs/>
                <w:color w:val="000000"/>
                <w:sz w:val="20"/>
                <w:szCs w:val="20"/>
              </w:rPr>
              <w:t>PROJEKCIJA 2023</w:t>
            </w:r>
          </w:p>
        </w:tc>
      </w:tr>
      <w:tr w:rsidR="00ED705B" w:rsidRPr="006E0AFE" w14:paraId="21C539E3" w14:textId="77777777" w:rsidTr="00C46B71">
        <w:trPr>
          <w:trHeight w:val="375"/>
        </w:trPr>
        <w:tc>
          <w:tcPr>
            <w:tcW w:w="2961" w:type="dxa"/>
            <w:vMerge/>
            <w:tcBorders>
              <w:top w:val="single" w:sz="8" w:space="0" w:color="000000"/>
              <w:left w:val="single" w:sz="8" w:space="0" w:color="000000"/>
              <w:bottom w:val="single" w:sz="8" w:space="0" w:color="000000"/>
              <w:right w:val="single" w:sz="8" w:space="0" w:color="000000"/>
            </w:tcBorders>
            <w:vAlign w:val="center"/>
            <w:hideMark/>
          </w:tcPr>
          <w:p w14:paraId="2D02C405" w14:textId="77777777" w:rsidR="00ED705B" w:rsidRPr="006E0AFE" w:rsidRDefault="00ED705B" w:rsidP="00ED705B">
            <w:pPr>
              <w:rPr>
                <w:b/>
                <w:bCs/>
                <w:color w:val="000000"/>
                <w:sz w:val="20"/>
                <w:szCs w:val="20"/>
              </w:rPr>
            </w:pPr>
          </w:p>
        </w:tc>
        <w:tc>
          <w:tcPr>
            <w:tcW w:w="1517" w:type="dxa"/>
            <w:vMerge/>
            <w:tcBorders>
              <w:top w:val="single" w:sz="8" w:space="0" w:color="000000"/>
              <w:left w:val="single" w:sz="8" w:space="0" w:color="000000"/>
              <w:bottom w:val="single" w:sz="8" w:space="0" w:color="000000"/>
              <w:right w:val="single" w:sz="8" w:space="0" w:color="000000"/>
            </w:tcBorders>
            <w:vAlign w:val="center"/>
            <w:hideMark/>
          </w:tcPr>
          <w:p w14:paraId="5E26C3C3" w14:textId="77777777" w:rsidR="00ED705B" w:rsidRPr="006E0AFE" w:rsidRDefault="00ED705B" w:rsidP="00ED705B">
            <w:pPr>
              <w:rPr>
                <w:b/>
                <w:bCs/>
                <w:color w:val="000000"/>
                <w:sz w:val="20"/>
                <w:szCs w:val="20"/>
              </w:rPr>
            </w:pPr>
          </w:p>
        </w:tc>
        <w:tc>
          <w:tcPr>
            <w:tcW w:w="1516" w:type="dxa"/>
            <w:vMerge/>
            <w:tcBorders>
              <w:top w:val="single" w:sz="8" w:space="0" w:color="000000"/>
              <w:left w:val="single" w:sz="8" w:space="0" w:color="000000"/>
              <w:bottom w:val="single" w:sz="8" w:space="0" w:color="000000"/>
              <w:right w:val="single" w:sz="8" w:space="0" w:color="000000"/>
            </w:tcBorders>
            <w:vAlign w:val="center"/>
            <w:hideMark/>
          </w:tcPr>
          <w:p w14:paraId="103108C7" w14:textId="77777777" w:rsidR="00ED705B" w:rsidRPr="006E0AFE" w:rsidRDefault="00ED705B" w:rsidP="00ED705B">
            <w:pPr>
              <w:rPr>
                <w:b/>
                <w:bCs/>
                <w:color w:val="000000"/>
                <w:sz w:val="20"/>
                <w:szCs w:val="20"/>
              </w:rPr>
            </w:pPr>
          </w:p>
        </w:tc>
        <w:tc>
          <w:tcPr>
            <w:tcW w:w="1072" w:type="dxa"/>
            <w:vMerge/>
            <w:tcBorders>
              <w:top w:val="single" w:sz="8" w:space="0" w:color="000000"/>
              <w:left w:val="single" w:sz="8" w:space="0" w:color="000000"/>
              <w:bottom w:val="single" w:sz="8" w:space="0" w:color="000000"/>
              <w:right w:val="single" w:sz="8" w:space="0" w:color="000000"/>
            </w:tcBorders>
            <w:vAlign w:val="center"/>
            <w:hideMark/>
          </w:tcPr>
          <w:p w14:paraId="442A7436" w14:textId="77777777" w:rsidR="00ED705B" w:rsidRPr="006E0AFE" w:rsidRDefault="00ED705B" w:rsidP="00ED705B">
            <w:pPr>
              <w:rPr>
                <w:b/>
                <w:bCs/>
                <w:color w:val="000000"/>
                <w:sz w:val="20"/>
                <w:szCs w:val="20"/>
              </w:rPr>
            </w:pPr>
          </w:p>
        </w:tc>
        <w:tc>
          <w:tcPr>
            <w:tcW w:w="1523" w:type="dxa"/>
            <w:vMerge/>
            <w:tcBorders>
              <w:top w:val="single" w:sz="8" w:space="0" w:color="000000"/>
              <w:left w:val="single" w:sz="8" w:space="0" w:color="000000"/>
              <w:bottom w:val="single" w:sz="8" w:space="0" w:color="000000"/>
              <w:right w:val="single" w:sz="8" w:space="0" w:color="000000"/>
            </w:tcBorders>
            <w:vAlign w:val="center"/>
            <w:hideMark/>
          </w:tcPr>
          <w:p w14:paraId="2BB9251E" w14:textId="77777777" w:rsidR="00ED705B" w:rsidRPr="006E0AFE" w:rsidRDefault="00ED705B" w:rsidP="00ED705B">
            <w:pPr>
              <w:rPr>
                <w:b/>
                <w:bCs/>
                <w:color w:val="000000"/>
                <w:sz w:val="20"/>
                <w:szCs w:val="20"/>
              </w:rPr>
            </w:pPr>
          </w:p>
        </w:tc>
        <w:tc>
          <w:tcPr>
            <w:tcW w:w="1523" w:type="dxa"/>
            <w:vMerge/>
            <w:tcBorders>
              <w:top w:val="single" w:sz="8" w:space="0" w:color="000000"/>
              <w:left w:val="single" w:sz="8" w:space="0" w:color="000000"/>
              <w:bottom w:val="single" w:sz="8" w:space="0" w:color="000000"/>
              <w:right w:val="single" w:sz="8" w:space="0" w:color="000000"/>
            </w:tcBorders>
            <w:vAlign w:val="center"/>
            <w:hideMark/>
          </w:tcPr>
          <w:p w14:paraId="78D1C025" w14:textId="77777777" w:rsidR="00ED705B" w:rsidRPr="006E0AFE" w:rsidRDefault="00ED705B" w:rsidP="00ED705B">
            <w:pPr>
              <w:rPr>
                <w:b/>
                <w:bCs/>
                <w:color w:val="000000"/>
                <w:sz w:val="20"/>
                <w:szCs w:val="20"/>
              </w:rPr>
            </w:pPr>
          </w:p>
        </w:tc>
      </w:tr>
      <w:tr w:rsidR="00ED705B" w:rsidRPr="006E0AFE" w14:paraId="399DB67A" w14:textId="77777777" w:rsidTr="00C46B71">
        <w:trPr>
          <w:trHeight w:val="465"/>
        </w:trPr>
        <w:tc>
          <w:tcPr>
            <w:tcW w:w="2961" w:type="dxa"/>
            <w:tcBorders>
              <w:top w:val="nil"/>
              <w:left w:val="single" w:sz="8" w:space="0" w:color="000000"/>
              <w:bottom w:val="single" w:sz="8" w:space="0" w:color="000000"/>
              <w:right w:val="single" w:sz="8" w:space="0" w:color="000000"/>
            </w:tcBorders>
            <w:shd w:val="clear" w:color="000000" w:fill="C5D9F1"/>
            <w:vAlign w:val="center"/>
            <w:hideMark/>
          </w:tcPr>
          <w:p w14:paraId="264A896A" w14:textId="77777777" w:rsidR="00ED705B" w:rsidRPr="006E0AFE" w:rsidRDefault="00ED705B" w:rsidP="00ED705B">
            <w:pPr>
              <w:jc w:val="center"/>
              <w:rPr>
                <w:b/>
                <w:bCs/>
                <w:color w:val="000000"/>
                <w:sz w:val="20"/>
                <w:szCs w:val="20"/>
              </w:rPr>
            </w:pPr>
            <w:r w:rsidRPr="006E0AFE">
              <w:rPr>
                <w:b/>
                <w:bCs/>
                <w:color w:val="000000"/>
                <w:sz w:val="20"/>
                <w:szCs w:val="20"/>
              </w:rPr>
              <w:t>UKUPNO</w:t>
            </w:r>
          </w:p>
        </w:tc>
        <w:tc>
          <w:tcPr>
            <w:tcW w:w="1517" w:type="dxa"/>
            <w:tcBorders>
              <w:top w:val="nil"/>
              <w:left w:val="nil"/>
              <w:bottom w:val="single" w:sz="8" w:space="0" w:color="000000"/>
              <w:right w:val="single" w:sz="8" w:space="0" w:color="000000"/>
            </w:tcBorders>
            <w:shd w:val="clear" w:color="000000" w:fill="C5D9F1"/>
            <w:vAlign w:val="center"/>
            <w:hideMark/>
          </w:tcPr>
          <w:p w14:paraId="14867A15" w14:textId="77777777" w:rsidR="00ED705B" w:rsidRPr="006E0AFE" w:rsidRDefault="00ED705B" w:rsidP="00ED705B">
            <w:pPr>
              <w:jc w:val="center"/>
              <w:rPr>
                <w:b/>
                <w:bCs/>
                <w:sz w:val="20"/>
                <w:szCs w:val="20"/>
              </w:rPr>
            </w:pPr>
            <w:r w:rsidRPr="006E0AFE">
              <w:rPr>
                <w:b/>
                <w:bCs/>
                <w:sz w:val="20"/>
                <w:szCs w:val="20"/>
              </w:rPr>
              <w:t>48.784.674</w:t>
            </w:r>
          </w:p>
        </w:tc>
        <w:tc>
          <w:tcPr>
            <w:tcW w:w="1516" w:type="dxa"/>
            <w:tcBorders>
              <w:top w:val="nil"/>
              <w:left w:val="nil"/>
              <w:bottom w:val="single" w:sz="8" w:space="0" w:color="000000"/>
              <w:right w:val="single" w:sz="8" w:space="0" w:color="000000"/>
            </w:tcBorders>
            <w:shd w:val="clear" w:color="000000" w:fill="C5D9F1"/>
            <w:vAlign w:val="center"/>
            <w:hideMark/>
          </w:tcPr>
          <w:p w14:paraId="0606318D" w14:textId="77777777" w:rsidR="00ED705B" w:rsidRPr="006E0AFE" w:rsidRDefault="00ED705B" w:rsidP="00ED705B">
            <w:pPr>
              <w:jc w:val="center"/>
              <w:rPr>
                <w:b/>
                <w:bCs/>
                <w:sz w:val="20"/>
                <w:szCs w:val="20"/>
              </w:rPr>
            </w:pPr>
            <w:r w:rsidRPr="006E0AFE">
              <w:rPr>
                <w:b/>
                <w:bCs/>
                <w:sz w:val="20"/>
                <w:szCs w:val="20"/>
              </w:rPr>
              <w:t>46.518.830</w:t>
            </w:r>
          </w:p>
        </w:tc>
        <w:tc>
          <w:tcPr>
            <w:tcW w:w="1072" w:type="dxa"/>
            <w:tcBorders>
              <w:top w:val="nil"/>
              <w:left w:val="nil"/>
              <w:bottom w:val="single" w:sz="8" w:space="0" w:color="000000"/>
              <w:right w:val="single" w:sz="8" w:space="0" w:color="000000"/>
            </w:tcBorders>
            <w:shd w:val="clear" w:color="000000" w:fill="C5D9F1"/>
            <w:vAlign w:val="center"/>
            <w:hideMark/>
          </w:tcPr>
          <w:p w14:paraId="36A7B15C" w14:textId="77777777" w:rsidR="00ED705B" w:rsidRPr="006E0AFE" w:rsidRDefault="00ED705B" w:rsidP="00ED705B">
            <w:pPr>
              <w:jc w:val="center"/>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C5D9F1"/>
            <w:vAlign w:val="center"/>
            <w:hideMark/>
          </w:tcPr>
          <w:p w14:paraId="5A4BE6AB" w14:textId="77777777" w:rsidR="00ED705B" w:rsidRPr="006E0AFE" w:rsidRDefault="00ED705B" w:rsidP="00ED705B">
            <w:pPr>
              <w:jc w:val="center"/>
              <w:rPr>
                <w:b/>
                <w:bCs/>
                <w:sz w:val="20"/>
                <w:szCs w:val="20"/>
              </w:rPr>
            </w:pPr>
            <w:r w:rsidRPr="006E0AFE">
              <w:rPr>
                <w:b/>
                <w:bCs/>
                <w:sz w:val="20"/>
                <w:szCs w:val="20"/>
              </w:rPr>
              <w:t>44.827.105</w:t>
            </w:r>
          </w:p>
        </w:tc>
        <w:tc>
          <w:tcPr>
            <w:tcW w:w="1523" w:type="dxa"/>
            <w:tcBorders>
              <w:top w:val="nil"/>
              <w:left w:val="nil"/>
              <w:bottom w:val="single" w:sz="8" w:space="0" w:color="000000"/>
              <w:right w:val="single" w:sz="8" w:space="0" w:color="000000"/>
            </w:tcBorders>
            <w:shd w:val="clear" w:color="000000" w:fill="C5D9F1"/>
            <w:vAlign w:val="center"/>
            <w:hideMark/>
          </w:tcPr>
          <w:p w14:paraId="2CDD1C91" w14:textId="77777777" w:rsidR="00ED705B" w:rsidRPr="006E0AFE" w:rsidRDefault="00ED705B" w:rsidP="00ED705B">
            <w:pPr>
              <w:jc w:val="center"/>
              <w:rPr>
                <w:b/>
                <w:bCs/>
                <w:sz w:val="20"/>
                <w:szCs w:val="20"/>
              </w:rPr>
            </w:pPr>
            <w:r w:rsidRPr="006E0AFE">
              <w:rPr>
                <w:b/>
                <w:bCs/>
                <w:sz w:val="20"/>
                <w:szCs w:val="20"/>
              </w:rPr>
              <w:t>44.231.030</w:t>
            </w:r>
          </w:p>
        </w:tc>
      </w:tr>
      <w:tr w:rsidR="00ED705B" w:rsidRPr="006E0AFE" w14:paraId="64B607E8" w14:textId="77777777" w:rsidTr="00C46B71">
        <w:trPr>
          <w:trHeight w:val="522"/>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726E2AF4" w14:textId="77777777" w:rsidR="00ED705B" w:rsidRPr="006E0AFE" w:rsidRDefault="00ED705B" w:rsidP="00ED705B">
            <w:pPr>
              <w:jc w:val="center"/>
              <w:rPr>
                <w:b/>
                <w:bCs/>
                <w:color w:val="000000"/>
                <w:sz w:val="20"/>
                <w:szCs w:val="20"/>
              </w:rPr>
            </w:pPr>
            <w:r w:rsidRPr="006E0AFE">
              <w:rPr>
                <w:b/>
                <w:bCs/>
                <w:color w:val="000000"/>
                <w:sz w:val="20"/>
                <w:szCs w:val="20"/>
              </w:rPr>
              <w:t>1.A. RASHODI ZA ZAPOSLENE (31)</w:t>
            </w:r>
          </w:p>
        </w:tc>
        <w:tc>
          <w:tcPr>
            <w:tcW w:w="1517" w:type="dxa"/>
            <w:tcBorders>
              <w:top w:val="nil"/>
              <w:left w:val="nil"/>
              <w:bottom w:val="single" w:sz="8" w:space="0" w:color="000000"/>
              <w:right w:val="single" w:sz="8" w:space="0" w:color="000000"/>
            </w:tcBorders>
            <w:shd w:val="clear" w:color="000000" w:fill="FFFFFF"/>
            <w:vAlign w:val="center"/>
            <w:hideMark/>
          </w:tcPr>
          <w:p w14:paraId="0772BB2B" w14:textId="77777777" w:rsidR="00ED705B" w:rsidRPr="006E0AFE" w:rsidRDefault="00ED705B" w:rsidP="00ED705B">
            <w:pPr>
              <w:jc w:val="right"/>
              <w:rPr>
                <w:b/>
                <w:bCs/>
                <w:sz w:val="20"/>
                <w:szCs w:val="20"/>
              </w:rPr>
            </w:pPr>
            <w:r w:rsidRPr="006E0AFE">
              <w:rPr>
                <w:b/>
                <w:bCs/>
                <w:sz w:val="20"/>
                <w:szCs w:val="20"/>
              </w:rPr>
              <w:t>12.456.622</w:t>
            </w:r>
          </w:p>
        </w:tc>
        <w:tc>
          <w:tcPr>
            <w:tcW w:w="1516" w:type="dxa"/>
            <w:tcBorders>
              <w:top w:val="nil"/>
              <w:left w:val="nil"/>
              <w:bottom w:val="single" w:sz="8" w:space="0" w:color="000000"/>
              <w:right w:val="single" w:sz="8" w:space="0" w:color="000000"/>
            </w:tcBorders>
            <w:shd w:val="clear" w:color="000000" w:fill="FFFFFF"/>
            <w:vAlign w:val="center"/>
            <w:hideMark/>
          </w:tcPr>
          <w:p w14:paraId="57832315" w14:textId="77777777" w:rsidR="00ED705B" w:rsidRPr="006E0AFE" w:rsidRDefault="00ED705B" w:rsidP="00ED705B">
            <w:pPr>
              <w:jc w:val="right"/>
              <w:rPr>
                <w:b/>
                <w:bCs/>
                <w:sz w:val="20"/>
                <w:szCs w:val="20"/>
              </w:rPr>
            </w:pPr>
            <w:r w:rsidRPr="006E0AFE">
              <w:rPr>
                <w:b/>
                <w:bCs/>
                <w:sz w:val="20"/>
                <w:szCs w:val="20"/>
              </w:rPr>
              <w:t>12.832.235</w:t>
            </w:r>
          </w:p>
        </w:tc>
        <w:tc>
          <w:tcPr>
            <w:tcW w:w="1072" w:type="dxa"/>
            <w:tcBorders>
              <w:top w:val="nil"/>
              <w:left w:val="nil"/>
              <w:bottom w:val="single" w:sz="8" w:space="0" w:color="000000"/>
              <w:right w:val="single" w:sz="8" w:space="0" w:color="000000"/>
            </w:tcBorders>
            <w:shd w:val="clear" w:color="000000" w:fill="FFFFFF"/>
            <w:vAlign w:val="center"/>
            <w:hideMark/>
          </w:tcPr>
          <w:p w14:paraId="5CE5BAE3" w14:textId="77777777" w:rsidR="00ED705B" w:rsidRPr="00C46B71" w:rsidRDefault="00ED705B" w:rsidP="00ED705B">
            <w:pPr>
              <w:jc w:val="center"/>
              <w:rPr>
                <w:b/>
                <w:bCs/>
                <w:sz w:val="20"/>
                <w:szCs w:val="20"/>
              </w:rPr>
            </w:pPr>
            <w:r w:rsidRPr="00C46B71">
              <w:rPr>
                <w:b/>
                <w:bCs/>
                <w:sz w:val="20"/>
                <w:szCs w:val="20"/>
              </w:rPr>
              <w:t>103</w:t>
            </w:r>
            <w:r w:rsidR="00C46B71" w:rsidRPr="00C46B71">
              <w:rPr>
                <w:b/>
                <w:bCs/>
                <w:sz w:val="20"/>
                <w:szCs w:val="20"/>
              </w:rPr>
              <w:t>,0</w:t>
            </w:r>
          </w:p>
        </w:tc>
        <w:tc>
          <w:tcPr>
            <w:tcW w:w="1523" w:type="dxa"/>
            <w:tcBorders>
              <w:top w:val="nil"/>
              <w:left w:val="nil"/>
              <w:bottom w:val="single" w:sz="8" w:space="0" w:color="000000"/>
              <w:right w:val="single" w:sz="8" w:space="0" w:color="000000"/>
            </w:tcBorders>
            <w:shd w:val="clear" w:color="000000" w:fill="FFFFFF"/>
            <w:vAlign w:val="center"/>
            <w:hideMark/>
          </w:tcPr>
          <w:p w14:paraId="743F83A2" w14:textId="77777777" w:rsidR="00ED705B" w:rsidRPr="006E0AFE" w:rsidRDefault="00ED705B" w:rsidP="00ED705B">
            <w:pPr>
              <w:jc w:val="right"/>
              <w:rPr>
                <w:b/>
                <w:bCs/>
                <w:sz w:val="20"/>
                <w:szCs w:val="20"/>
              </w:rPr>
            </w:pPr>
            <w:r w:rsidRPr="006E0AFE">
              <w:rPr>
                <w:b/>
                <w:bCs/>
                <w:sz w:val="20"/>
                <w:szCs w:val="20"/>
              </w:rPr>
              <w:t>13.006.985</w:t>
            </w:r>
          </w:p>
        </w:tc>
        <w:tc>
          <w:tcPr>
            <w:tcW w:w="1523" w:type="dxa"/>
            <w:tcBorders>
              <w:top w:val="nil"/>
              <w:left w:val="nil"/>
              <w:bottom w:val="single" w:sz="8" w:space="0" w:color="000000"/>
              <w:right w:val="single" w:sz="8" w:space="0" w:color="000000"/>
            </w:tcBorders>
            <w:shd w:val="clear" w:color="000000" w:fill="FFFFFF"/>
            <w:vAlign w:val="center"/>
            <w:hideMark/>
          </w:tcPr>
          <w:p w14:paraId="43A9D0A4" w14:textId="77777777" w:rsidR="00ED705B" w:rsidRPr="006E0AFE" w:rsidRDefault="00ED705B" w:rsidP="00ED705B">
            <w:pPr>
              <w:jc w:val="right"/>
              <w:rPr>
                <w:b/>
                <w:bCs/>
                <w:sz w:val="20"/>
                <w:szCs w:val="20"/>
              </w:rPr>
            </w:pPr>
            <w:r w:rsidRPr="006E0AFE">
              <w:rPr>
                <w:b/>
                <w:bCs/>
                <w:sz w:val="20"/>
                <w:szCs w:val="20"/>
              </w:rPr>
              <w:t>13.035.570</w:t>
            </w:r>
          </w:p>
        </w:tc>
      </w:tr>
      <w:tr w:rsidR="00ED705B" w:rsidRPr="006E0AFE" w14:paraId="2B248D6B" w14:textId="77777777" w:rsidTr="003C150F">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365A3170" w14:textId="77777777" w:rsidR="00ED705B" w:rsidRPr="006E0AFE" w:rsidRDefault="00ED705B" w:rsidP="00ED705B">
            <w:pPr>
              <w:jc w:val="right"/>
              <w:rPr>
                <w:color w:val="000000"/>
                <w:sz w:val="20"/>
                <w:szCs w:val="20"/>
              </w:rPr>
            </w:pPr>
            <w:r w:rsidRPr="006E0AFE">
              <w:rPr>
                <w:color w:val="000000"/>
                <w:sz w:val="20"/>
                <w:szCs w:val="20"/>
              </w:rPr>
              <w:t>Plaće</w:t>
            </w:r>
          </w:p>
        </w:tc>
        <w:tc>
          <w:tcPr>
            <w:tcW w:w="1517" w:type="dxa"/>
            <w:tcBorders>
              <w:top w:val="nil"/>
              <w:left w:val="nil"/>
              <w:bottom w:val="single" w:sz="8" w:space="0" w:color="000000"/>
              <w:right w:val="single" w:sz="8" w:space="0" w:color="000000"/>
            </w:tcBorders>
            <w:shd w:val="clear" w:color="000000" w:fill="FFFFFF"/>
            <w:vAlign w:val="center"/>
            <w:hideMark/>
          </w:tcPr>
          <w:p w14:paraId="3D276D94" w14:textId="77777777" w:rsidR="00ED705B" w:rsidRPr="006E0AFE" w:rsidRDefault="00ED705B" w:rsidP="00ED705B">
            <w:pPr>
              <w:jc w:val="right"/>
              <w:rPr>
                <w:sz w:val="20"/>
                <w:szCs w:val="20"/>
              </w:rPr>
            </w:pPr>
            <w:r w:rsidRPr="006E0AFE">
              <w:rPr>
                <w:sz w:val="20"/>
                <w:szCs w:val="20"/>
              </w:rPr>
              <w:t>10.178.616</w:t>
            </w:r>
          </w:p>
        </w:tc>
        <w:tc>
          <w:tcPr>
            <w:tcW w:w="1516" w:type="dxa"/>
            <w:tcBorders>
              <w:top w:val="nil"/>
              <w:left w:val="nil"/>
              <w:bottom w:val="single" w:sz="8" w:space="0" w:color="000000"/>
              <w:right w:val="nil"/>
            </w:tcBorders>
            <w:shd w:val="clear" w:color="000000" w:fill="FFFFFF"/>
            <w:vAlign w:val="center"/>
            <w:hideMark/>
          </w:tcPr>
          <w:p w14:paraId="2CA3A314" w14:textId="77777777" w:rsidR="00ED705B" w:rsidRPr="006E0AFE" w:rsidRDefault="00ED705B" w:rsidP="00ED705B">
            <w:pPr>
              <w:jc w:val="right"/>
              <w:rPr>
                <w:sz w:val="20"/>
                <w:szCs w:val="20"/>
              </w:rPr>
            </w:pPr>
            <w:r w:rsidRPr="006E0AFE">
              <w:rPr>
                <w:sz w:val="20"/>
                <w:szCs w:val="20"/>
              </w:rPr>
              <w:t>10.451.230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1CB407B7" w14:textId="77777777" w:rsidR="00ED705B" w:rsidRPr="00C46B71" w:rsidRDefault="00C46B71" w:rsidP="00ED705B">
            <w:pPr>
              <w:jc w:val="center"/>
              <w:rPr>
                <w:sz w:val="20"/>
                <w:szCs w:val="20"/>
              </w:rPr>
            </w:pPr>
            <w:r w:rsidRPr="00C46B71">
              <w:rPr>
                <w:sz w:val="20"/>
                <w:szCs w:val="20"/>
              </w:rPr>
              <w:t>102,7</w:t>
            </w:r>
          </w:p>
        </w:tc>
        <w:tc>
          <w:tcPr>
            <w:tcW w:w="1523" w:type="dxa"/>
            <w:tcBorders>
              <w:top w:val="single" w:sz="8" w:space="0" w:color="000000"/>
              <w:left w:val="nil"/>
              <w:bottom w:val="single" w:sz="8" w:space="0" w:color="000000"/>
              <w:right w:val="single" w:sz="8" w:space="0" w:color="000000"/>
            </w:tcBorders>
            <w:shd w:val="clear" w:color="000000" w:fill="D9D9D9"/>
            <w:vAlign w:val="center"/>
            <w:hideMark/>
          </w:tcPr>
          <w:p w14:paraId="4198BBF7" w14:textId="77777777" w:rsidR="00ED705B" w:rsidRPr="006E0AFE" w:rsidRDefault="00ED705B" w:rsidP="00ED705B">
            <w:pPr>
              <w:jc w:val="right"/>
              <w:rPr>
                <w:b/>
                <w:bCs/>
                <w:sz w:val="20"/>
                <w:szCs w:val="20"/>
              </w:rPr>
            </w:pPr>
            <w:r w:rsidRPr="006E0AFE">
              <w:rPr>
                <w:b/>
                <w:bCs/>
                <w:sz w:val="20"/>
                <w:szCs w:val="20"/>
              </w:rPr>
              <w:t> </w:t>
            </w:r>
          </w:p>
        </w:tc>
        <w:tc>
          <w:tcPr>
            <w:tcW w:w="1523" w:type="dxa"/>
            <w:tcBorders>
              <w:top w:val="single" w:sz="8" w:space="0" w:color="000000"/>
              <w:left w:val="nil"/>
              <w:bottom w:val="single" w:sz="8" w:space="0" w:color="000000"/>
              <w:right w:val="single" w:sz="8" w:space="0" w:color="000000"/>
            </w:tcBorders>
            <w:shd w:val="clear" w:color="000000" w:fill="D9D9D9"/>
            <w:vAlign w:val="center"/>
            <w:hideMark/>
          </w:tcPr>
          <w:p w14:paraId="1B6FCD52" w14:textId="77777777" w:rsidR="00ED705B" w:rsidRPr="006E0AFE" w:rsidRDefault="00ED705B" w:rsidP="00ED705B">
            <w:pPr>
              <w:jc w:val="right"/>
              <w:rPr>
                <w:b/>
                <w:bCs/>
                <w:sz w:val="20"/>
                <w:szCs w:val="20"/>
              </w:rPr>
            </w:pPr>
            <w:r w:rsidRPr="006E0AFE">
              <w:rPr>
                <w:b/>
                <w:bCs/>
                <w:sz w:val="20"/>
                <w:szCs w:val="20"/>
              </w:rPr>
              <w:t> </w:t>
            </w:r>
          </w:p>
        </w:tc>
      </w:tr>
      <w:tr w:rsidR="00ED705B" w:rsidRPr="006E0AFE" w14:paraId="44589639" w14:textId="77777777" w:rsidTr="003C150F">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3452186A" w14:textId="77777777" w:rsidR="00ED705B" w:rsidRPr="006E0AFE" w:rsidRDefault="00ED705B" w:rsidP="00ED705B">
            <w:pPr>
              <w:jc w:val="right"/>
              <w:rPr>
                <w:color w:val="000000"/>
                <w:sz w:val="20"/>
                <w:szCs w:val="20"/>
              </w:rPr>
            </w:pPr>
            <w:r w:rsidRPr="006E0AFE">
              <w:rPr>
                <w:color w:val="000000"/>
                <w:sz w:val="20"/>
                <w:szCs w:val="20"/>
              </w:rPr>
              <w:t>Ostali rashodi za zaposlene</w:t>
            </w:r>
          </w:p>
        </w:tc>
        <w:tc>
          <w:tcPr>
            <w:tcW w:w="1517" w:type="dxa"/>
            <w:tcBorders>
              <w:top w:val="nil"/>
              <w:left w:val="nil"/>
              <w:bottom w:val="single" w:sz="8" w:space="0" w:color="000000"/>
              <w:right w:val="single" w:sz="8" w:space="0" w:color="000000"/>
            </w:tcBorders>
            <w:shd w:val="clear" w:color="000000" w:fill="FFFFFF"/>
            <w:vAlign w:val="center"/>
            <w:hideMark/>
          </w:tcPr>
          <w:p w14:paraId="4C7F6C7B" w14:textId="77777777" w:rsidR="00ED705B" w:rsidRPr="006E0AFE" w:rsidRDefault="00ED705B" w:rsidP="00ED705B">
            <w:pPr>
              <w:jc w:val="right"/>
              <w:rPr>
                <w:sz w:val="20"/>
                <w:szCs w:val="20"/>
              </w:rPr>
            </w:pPr>
            <w:r w:rsidRPr="006E0AFE">
              <w:rPr>
                <w:sz w:val="20"/>
                <w:szCs w:val="20"/>
              </w:rPr>
              <w:t>600.800</w:t>
            </w:r>
          </w:p>
        </w:tc>
        <w:tc>
          <w:tcPr>
            <w:tcW w:w="1516" w:type="dxa"/>
            <w:tcBorders>
              <w:top w:val="nil"/>
              <w:left w:val="nil"/>
              <w:bottom w:val="single" w:sz="8" w:space="0" w:color="000000"/>
              <w:right w:val="nil"/>
            </w:tcBorders>
            <w:shd w:val="clear" w:color="000000" w:fill="FFFFFF"/>
            <w:vAlign w:val="center"/>
            <w:hideMark/>
          </w:tcPr>
          <w:p w14:paraId="4F717995" w14:textId="77777777" w:rsidR="00ED705B" w:rsidRPr="006E0AFE" w:rsidRDefault="00ED705B" w:rsidP="00ED705B">
            <w:pPr>
              <w:jc w:val="right"/>
              <w:rPr>
                <w:sz w:val="20"/>
                <w:szCs w:val="20"/>
              </w:rPr>
            </w:pPr>
            <w:r w:rsidRPr="006E0AFE">
              <w:rPr>
                <w:sz w:val="20"/>
                <w:szCs w:val="20"/>
              </w:rPr>
              <w:t>661.000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4F522D3C" w14:textId="77777777" w:rsidR="00ED705B" w:rsidRPr="00C46B71" w:rsidRDefault="00ED705B" w:rsidP="00ED705B">
            <w:pPr>
              <w:jc w:val="center"/>
              <w:rPr>
                <w:sz w:val="20"/>
                <w:szCs w:val="20"/>
              </w:rPr>
            </w:pPr>
            <w:r w:rsidRPr="00C46B71">
              <w:rPr>
                <w:sz w:val="20"/>
                <w:szCs w:val="20"/>
              </w:rPr>
              <w:t>110</w:t>
            </w:r>
            <w:r w:rsidR="00C46B71" w:rsidRPr="00C46B71">
              <w:rPr>
                <w:sz w:val="20"/>
                <w:szCs w:val="20"/>
              </w:rPr>
              <w:t>,0</w:t>
            </w:r>
          </w:p>
        </w:tc>
        <w:tc>
          <w:tcPr>
            <w:tcW w:w="1523" w:type="dxa"/>
            <w:tcBorders>
              <w:top w:val="single" w:sz="8" w:space="0" w:color="000000"/>
              <w:left w:val="nil"/>
              <w:bottom w:val="single" w:sz="8" w:space="0" w:color="000000"/>
              <w:right w:val="single" w:sz="8" w:space="0" w:color="000000"/>
            </w:tcBorders>
            <w:shd w:val="clear" w:color="000000" w:fill="D9D9D9"/>
            <w:vAlign w:val="center"/>
            <w:hideMark/>
          </w:tcPr>
          <w:p w14:paraId="1E9E240D" w14:textId="77777777" w:rsidR="00ED705B" w:rsidRPr="006E0AFE" w:rsidRDefault="00ED705B" w:rsidP="00ED705B">
            <w:pPr>
              <w:jc w:val="right"/>
              <w:rPr>
                <w:b/>
                <w:bCs/>
                <w:sz w:val="20"/>
                <w:szCs w:val="20"/>
              </w:rPr>
            </w:pPr>
            <w:r w:rsidRPr="006E0AFE">
              <w:rPr>
                <w:b/>
                <w:bCs/>
                <w:sz w:val="20"/>
                <w:szCs w:val="20"/>
              </w:rPr>
              <w:t> </w:t>
            </w:r>
          </w:p>
        </w:tc>
        <w:tc>
          <w:tcPr>
            <w:tcW w:w="1523" w:type="dxa"/>
            <w:tcBorders>
              <w:top w:val="single" w:sz="8" w:space="0" w:color="000000"/>
              <w:left w:val="nil"/>
              <w:bottom w:val="single" w:sz="8" w:space="0" w:color="000000"/>
              <w:right w:val="single" w:sz="8" w:space="0" w:color="000000"/>
            </w:tcBorders>
            <w:shd w:val="clear" w:color="000000" w:fill="D9D9D9"/>
            <w:vAlign w:val="center"/>
            <w:hideMark/>
          </w:tcPr>
          <w:p w14:paraId="33D9C49D" w14:textId="77777777" w:rsidR="00ED705B" w:rsidRPr="006E0AFE" w:rsidRDefault="00ED705B" w:rsidP="00ED705B">
            <w:pPr>
              <w:jc w:val="right"/>
              <w:rPr>
                <w:b/>
                <w:bCs/>
                <w:sz w:val="20"/>
                <w:szCs w:val="20"/>
              </w:rPr>
            </w:pPr>
            <w:r w:rsidRPr="006E0AFE">
              <w:rPr>
                <w:b/>
                <w:bCs/>
                <w:sz w:val="20"/>
                <w:szCs w:val="20"/>
              </w:rPr>
              <w:t> </w:t>
            </w:r>
          </w:p>
        </w:tc>
      </w:tr>
      <w:tr w:rsidR="00ED705B" w:rsidRPr="006E0AFE" w14:paraId="623FAC65" w14:textId="77777777" w:rsidTr="003C150F">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1587E4B9" w14:textId="77777777" w:rsidR="00ED705B" w:rsidRPr="006E0AFE" w:rsidRDefault="00ED705B" w:rsidP="00ED705B">
            <w:pPr>
              <w:jc w:val="right"/>
              <w:rPr>
                <w:color w:val="000000"/>
                <w:sz w:val="20"/>
                <w:szCs w:val="20"/>
              </w:rPr>
            </w:pPr>
            <w:r w:rsidRPr="006E0AFE">
              <w:rPr>
                <w:color w:val="000000"/>
                <w:sz w:val="20"/>
                <w:szCs w:val="20"/>
              </w:rPr>
              <w:t>Doprinosi na plaće</w:t>
            </w:r>
          </w:p>
        </w:tc>
        <w:tc>
          <w:tcPr>
            <w:tcW w:w="1517" w:type="dxa"/>
            <w:tcBorders>
              <w:top w:val="nil"/>
              <w:left w:val="nil"/>
              <w:bottom w:val="single" w:sz="8" w:space="0" w:color="000000"/>
              <w:right w:val="single" w:sz="8" w:space="0" w:color="000000"/>
            </w:tcBorders>
            <w:shd w:val="clear" w:color="000000" w:fill="FFFFFF"/>
            <w:vAlign w:val="center"/>
            <w:hideMark/>
          </w:tcPr>
          <w:p w14:paraId="195E42C9" w14:textId="77777777" w:rsidR="00ED705B" w:rsidRPr="006E0AFE" w:rsidRDefault="00ED705B" w:rsidP="00ED705B">
            <w:pPr>
              <w:jc w:val="right"/>
              <w:rPr>
                <w:sz w:val="20"/>
                <w:szCs w:val="20"/>
              </w:rPr>
            </w:pPr>
            <w:r w:rsidRPr="006E0AFE">
              <w:rPr>
                <w:sz w:val="20"/>
                <w:szCs w:val="20"/>
              </w:rPr>
              <w:t>1.677.206</w:t>
            </w:r>
          </w:p>
        </w:tc>
        <w:tc>
          <w:tcPr>
            <w:tcW w:w="1516" w:type="dxa"/>
            <w:tcBorders>
              <w:top w:val="nil"/>
              <w:left w:val="nil"/>
              <w:bottom w:val="single" w:sz="8" w:space="0" w:color="000000"/>
              <w:right w:val="nil"/>
            </w:tcBorders>
            <w:shd w:val="clear" w:color="000000" w:fill="FFFFFF"/>
            <w:vAlign w:val="center"/>
            <w:hideMark/>
          </w:tcPr>
          <w:p w14:paraId="5034C7A0" w14:textId="77777777" w:rsidR="00ED705B" w:rsidRPr="006E0AFE" w:rsidRDefault="00ED705B" w:rsidP="00ED705B">
            <w:pPr>
              <w:jc w:val="right"/>
              <w:rPr>
                <w:sz w:val="20"/>
                <w:szCs w:val="20"/>
              </w:rPr>
            </w:pPr>
            <w:r w:rsidRPr="006E0AFE">
              <w:rPr>
                <w:sz w:val="20"/>
                <w:szCs w:val="20"/>
              </w:rPr>
              <w:t>1.720.005</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13DB1E38" w14:textId="77777777" w:rsidR="00ED705B" w:rsidRPr="00C46B71" w:rsidRDefault="00C46B71" w:rsidP="00ED705B">
            <w:pPr>
              <w:jc w:val="center"/>
              <w:rPr>
                <w:sz w:val="20"/>
                <w:szCs w:val="20"/>
              </w:rPr>
            </w:pPr>
            <w:r w:rsidRPr="00C46B71">
              <w:rPr>
                <w:sz w:val="20"/>
                <w:szCs w:val="20"/>
              </w:rPr>
              <w:t>102,6</w:t>
            </w:r>
          </w:p>
        </w:tc>
        <w:tc>
          <w:tcPr>
            <w:tcW w:w="1523" w:type="dxa"/>
            <w:tcBorders>
              <w:top w:val="single" w:sz="8" w:space="0" w:color="000000"/>
              <w:left w:val="nil"/>
              <w:bottom w:val="single" w:sz="8" w:space="0" w:color="000000"/>
              <w:right w:val="single" w:sz="8" w:space="0" w:color="000000"/>
            </w:tcBorders>
            <w:shd w:val="clear" w:color="000000" w:fill="D9D9D9"/>
            <w:vAlign w:val="center"/>
            <w:hideMark/>
          </w:tcPr>
          <w:p w14:paraId="5822FCB2" w14:textId="77777777" w:rsidR="00ED705B" w:rsidRPr="006E0AFE" w:rsidRDefault="00ED705B" w:rsidP="00ED705B">
            <w:pPr>
              <w:jc w:val="right"/>
              <w:rPr>
                <w:b/>
                <w:bCs/>
                <w:sz w:val="20"/>
                <w:szCs w:val="20"/>
              </w:rPr>
            </w:pPr>
            <w:r w:rsidRPr="006E0AFE">
              <w:rPr>
                <w:b/>
                <w:bCs/>
                <w:sz w:val="20"/>
                <w:szCs w:val="20"/>
              </w:rPr>
              <w:t> </w:t>
            </w:r>
          </w:p>
        </w:tc>
        <w:tc>
          <w:tcPr>
            <w:tcW w:w="1523" w:type="dxa"/>
            <w:tcBorders>
              <w:top w:val="single" w:sz="8" w:space="0" w:color="000000"/>
              <w:left w:val="nil"/>
              <w:bottom w:val="single" w:sz="8" w:space="0" w:color="000000"/>
              <w:right w:val="single" w:sz="8" w:space="0" w:color="000000"/>
            </w:tcBorders>
            <w:shd w:val="clear" w:color="000000" w:fill="D9D9D9"/>
            <w:vAlign w:val="center"/>
            <w:hideMark/>
          </w:tcPr>
          <w:p w14:paraId="514514E6" w14:textId="77777777" w:rsidR="00ED705B" w:rsidRPr="006E0AFE" w:rsidRDefault="00ED705B" w:rsidP="00ED705B">
            <w:pPr>
              <w:jc w:val="right"/>
              <w:rPr>
                <w:b/>
                <w:bCs/>
                <w:sz w:val="20"/>
                <w:szCs w:val="20"/>
              </w:rPr>
            </w:pPr>
            <w:r w:rsidRPr="006E0AFE">
              <w:rPr>
                <w:b/>
                <w:bCs/>
                <w:sz w:val="20"/>
                <w:szCs w:val="20"/>
              </w:rPr>
              <w:t> </w:t>
            </w:r>
          </w:p>
        </w:tc>
      </w:tr>
      <w:tr w:rsidR="00C46B71" w:rsidRPr="006E0AFE" w14:paraId="6B8DF915" w14:textId="77777777" w:rsidTr="00C46B71">
        <w:trPr>
          <w:trHeight w:val="522"/>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3FC58DA9" w14:textId="77777777" w:rsidR="00C46B71" w:rsidRPr="006E0AFE" w:rsidRDefault="00C46B71" w:rsidP="00C46B71">
            <w:pPr>
              <w:jc w:val="center"/>
              <w:rPr>
                <w:b/>
                <w:bCs/>
                <w:color w:val="000000"/>
                <w:sz w:val="20"/>
                <w:szCs w:val="20"/>
              </w:rPr>
            </w:pPr>
            <w:r w:rsidRPr="006E0AFE">
              <w:rPr>
                <w:b/>
                <w:bCs/>
                <w:color w:val="000000"/>
                <w:sz w:val="20"/>
                <w:szCs w:val="20"/>
              </w:rPr>
              <w:t>1.B. MATERIJALNI RASHODI (32)</w:t>
            </w:r>
          </w:p>
        </w:tc>
        <w:tc>
          <w:tcPr>
            <w:tcW w:w="1517" w:type="dxa"/>
            <w:tcBorders>
              <w:top w:val="nil"/>
              <w:left w:val="nil"/>
              <w:bottom w:val="single" w:sz="8" w:space="0" w:color="000000"/>
              <w:right w:val="single" w:sz="8" w:space="0" w:color="000000"/>
            </w:tcBorders>
            <w:shd w:val="clear" w:color="000000" w:fill="FFFFFF"/>
            <w:vAlign w:val="center"/>
            <w:hideMark/>
          </w:tcPr>
          <w:p w14:paraId="18D8669C" w14:textId="77777777" w:rsidR="00C46B71" w:rsidRPr="006E0AFE" w:rsidRDefault="00C46B71" w:rsidP="00C46B71">
            <w:pPr>
              <w:jc w:val="right"/>
              <w:rPr>
                <w:b/>
                <w:bCs/>
                <w:color w:val="000000"/>
                <w:sz w:val="20"/>
                <w:szCs w:val="20"/>
              </w:rPr>
            </w:pPr>
            <w:r w:rsidRPr="006E0AFE">
              <w:rPr>
                <w:b/>
                <w:bCs/>
                <w:color w:val="000000"/>
                <w:sz w:val="20"/>
                <w:szCs w:val="20"/>
              </w:rPr>
              <w:t>17.621.026</w:t>
            </w:r>
          </w:p>
        </w:tc>
        <w:tc>
          <w:tcPr>
            <w:tcW w:w="1516" w:type="dxa"/>
            <w:tcBorders>
              <w:top w:val="nil"/>
              <w:left w:val="nil"/>
              <w:bottom w:val="single" w:sz="8" w:space="0" w:color="000000"/>
              <w:right w:val="single" w:sz="8" w:space="0" w:color="000000"/>
            </w:tcBorders>
            <w:shd w:val="clear" w:color="000000" w:fill="FFFFFF"/>
            <w:vAlign w:val="center"/>
            <w:hideMark/>
          </w:tcPr>
          <w:p w14:paraId="40E53CD3" w14:textId="77777777" w:rsidR="00C46B71" w:rsidRPr="006E0AFE" w:rsidRDefault="00C46B71" w:rsidP="00C46B71">
            <w:pPr>
              <w:jc w:val="right"/>
              <w:rPr>
                <w:b/>
                <w:bCs/>
                <w:color w:val="000000"/>
                <w:sz w:val="20"/>
                <w:szCs w:val="20"/>
              </w:rPr>
            </w:pPr>
            <w:r w:rsidRPr="006E0AFE">
              <w:rPr>
                <w:b/>
                <w:bCs/>
                <w:color w:val="000000"/>
                <w:sz w:val="20"/>
                <w:szCs w:val="20"/>
              </w:rPr>
              <w:t>16.359.485</w:t>
            </w:r>
          </w:p>
        </w:tc>
        <w:tc>
          <w:tcPr>
            <w:tcW w:w="1072" w:type="dxa"/>
            <w:tcBorders>
              <w:top w:val="nil"/>
              <w:left w:val="nil"/>
              <w:bottom w:val="single" w:sz="8" w:space="0" w:color="000000"/>
              <w:right w:val="single" w:sz="8" w:space="0" w:color="000000"/>
            </w:tcBorders>
            <w:shd w:val="clear" w:color="000000" w:fill="FFFFFF"/>
            <w:vAlign w:val="center"/>
            <w:hideMark/>
          </w:tcPr>
          <w:p w14:paraId="355B2F70" w14:textId="77777777" w:rsidR="00C46B71" w:rsidRPr="00C46B71" w:rsidRDefault="00C46B71" w:rsidP="00C46B71">
            <w:pPr>
              <w:jc w:val="center"/>
              <w:rPr>
                <w:b/>
                <w:sz w:val="20"/>
                <w:szCs w:val="20"/>
              </w:rPr>
            </w:pPr>
            <w:r w:rsidRPr="00C46B71">
              <w:rPr>
                <w:b/>
                <w:sz w:val="20"/>
                <w:szCs w:val="20"/>
              </w:rPr>
              <w:t>92,8</w:t>
            </w:r>
          </w:p>
        </w:tc>
        <w:tc>
          <w:tcPr>
            <w:tcW w:w="1523" w:type="dxa"/>
            <w:tcBorders>
              <w:top w:val="nil"/>
              <w:left w:val="nil"/>
              <w:bottom w:val="single" w:sz="8" w:space="0" w:color="000000"/>
              <w:right w:val="single" w:sz="8" w:space="0" w:color="000000"/>
            </w:tcBorders>
            <w:shd w:val="clear" w:color="000000" w:fill="FFFFFF"/>
            <w:vAlign w:val="center"/>
            <w:hideMark/>
          </w:tcPr>
          <w:p w14:paraId="0637ABCA" w14:textId="77777777" w:rsidR="00C46B71" w:rsidRPr="006E0AFE" w:rsidRDefault="00C46B71" w:rsidP="00C46B71">
            <w:pPr>
              <w:jc w:val="right"/>
              <w:rPr>
                <w:b/>
                <w:bCs/>
                <w:sz w:val="20"/>
                <w:szCs w:val="20"/>
              </w:rPr>
            </w:pPr>
            <w:r w:rsidRPr="006E0AFE">
              <w:rPr>
                <w:b/>
                <w:bCs/>
                <w:sz w:val="20"/>
                <w:szCs w:val="20"/>
              </w:rPr>
              <w:t>15.897.795</w:t>
            </w:r>
          </w:p>
        </w:tc>
        <w:tc>
          <w:tcPr>
            <w:tcW w:w="1523" w:type="dxa"/>
            <w:tcBorders>
              <w:top w:val="nil"/>
              <w:left w:val="nil"/>
              <w:bottom w:val="single" w:sz="8" w:space="0" w:color="000000"/>
              <w:right w:val="single" w:sz="8" w:space="0" w:color="000000"/>
            </w:tcBorders>
            <w:shd w:val="clear" w:color="000000" w:fill="FFFFFF"/>
            <w:vAlign w:val="center"/>
            <w:hideMark/>
          </w:tcPr>
          <w:p w14:paraId="20C61E88" w14:textId="77777777" w:rsidR="00C46B71" w:rsidRPr="006E0AFE" w:rsidRDefault="00C46B71" w:rsidP="00C46B71">
            <w:pPr>
              <w:jc w:val="right"/>
              <w:rPr>
                <w:b/>
                <w:bCs/>
                <w:sz w:val="20"/>
                <w:szCs w:val="20"/>
              </w:rPr>
            </w:pPr>
            <w:r w:rsidRPr="006E0AFE">
              <w:rPr>
                <w:b/>
                <w:bCs/>
                <w:sz w:val="20"/>
                <w:szCs w:val="20"/>
              </w:rPr>
              <w:t>16.008.960</w:t>
            </w:r>
          </w:p>
        </w:tc>
      </w:tr>
      <w:tr w:rsidR="00C46B71" w:rsidRPr="006E0AFE" w14:paraId="159C397F" w14:textId="77777777" w:rsidTr="00C46B71">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409984E1" w14:textId="77777777" w:rsidR="00C46B71" w:rsidRPr="006E0AFE" w:rsidRDefault="00C46B71" w:rsidP="00C46B71">
            <w:pPr>
              <w:jc w:val="right"/>
              <w:rPr>
                <w:color w:val="000000"/>
                <w:sz w:val="20"/>
                <w:szCs w:val="20"/>
              </w:rPr>
            </w:pPr>
            <w:r w:rsidRPr="006E0AFE">
              <w:rPr>
                <w:color w:val="000000"/>
                <w:sz w:val="20"/>
                <w:szCs w:val="20"/>
              </w:rPr>
              <w:t>Naknade troškova zaposlenima</w:t>
            </w:r>
          </w:p>
        </w:tc>
        <w:tc>
          <w:tcPr>
            <w:tcW w:w="1517" w:type="dxa"/>
            <w:tcBorders>
              <w:top w:val="nil"/>
              <w:left w:val="nil"/>
              <w:bottom w:val="single" w:sz="8" w:space="0" w:color="000000"/>
              <w:right w:val="single" w:sz="8" w:space="0" w:color="000000"/>
            </w:tcBorders>
            <w:shd w:val="clear" w:color="000000" w:fill="FFFFFF"/>
            <w:vAlign w:val="center"/>
            <w:hideMark/>
          </w:tcPr>
          <w:p w14:paraId="5C8B7517" w14:textId="77777777" w:rsidR="00C46B71" w:rsidRPr="006E0AFE" w:rsidRDefault="00C46B71" w:rsidP="00C46B71">
            <w:pPr>
              <w:jc w:val="right"/>
              <w:rPr>
                <w:sz w:val="20"/>
                <w:szCs w:val="20"/>
              </w:rPr>
            </w:pPr>
            <w:r w:rsidRPr="006E0AFE">
              <w:rPr>
                <w:sz w:val="20"/>
                <w:szCs w:val="20"/>
              </w:rPr>
              <w:t>514.235</w:t>
            </w:r>
          </w:p>
        </w:tc>
        <w:tc>
          <w:tcPr>
            <w:tcW w:w="1516" w:type="dxa"/>
            <w:tcBorders>
              <w:top w:val="nil"/>
              <w:left w:val="nil"/>
              <w:bottom w:val="single" w:sz="8" w:space="0" w:color="000000"/>
              <w:right w:val="nil"/>
            </w:tcBorders>
            <w:shd w:val="clear" w:color="000000" w:fill="FFFFFF"/>
            <w:vAlign w:val="center"/>
            <w:hideMark/>
          </w:tcPr>
          <w:p w14:paraId="6D17ECE3" w14:textId="77777777" w:rsidR="00C46B71" w:rsidRPr="006E0AFE" w:rsidRDefault="00C46B71" w:rsidP="00C46B71">
            <w:pPr>
              <w:jc w:val="right"/>
              <w:rPr>
                <w:sz w:val="20"/>
                <w:szCs w:val="20"/>
              </w:rPr>
            </w:pPr>
            <w:r w:rsidRPr="006E0AFE">
              <w:rPr>
                <w:sz w:val="20"/>
                <w:szCs w:val="20"/>
              </w:rPr>
              <w:t>500.635</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49E7B221" w14:textId="77777777" w:rsidR="00C46B71" w:rsidRPr="00C46B71" w:rsidRDefault="00C46B71" w:rsidP="00C46B71">
            <w:pPr>
              <w:jc w:val="center"/>
              <w:rPr>
                <w:sz w:val="20"/>
                <w:szCs w:val="20"/>
              </w:rPr>
            </w:pPr>
            <w:r w:rsidRPr="00C46B71">
              <w:rPr>
                <w:sz w:val="20"/>
                <w:szCs w:val="20"/>
              </w:rPr>
              <w:t>97,4</w:t>
            </w:r>
          </w:p>
        </w:tc>
        <w:tc>
          <w:tcPr>
            <w:tcW w:w="1523" w:type="dxa"/>
            <w:tcBorders>
              <w:top w:val="nil"/>
              <w:left w:val="nil"/>
              <w:bottom w:val="single" w:sz="8" w:space="0" w:color="000000"/>
              <w:right w:val="single" w:sz="8" w:space="0" w:color="000000"/>
            </w:tcBorders>
            <w:shd w:val="clear" w:color="000000" w:fill="D9D9D9"/>
            <w:vAlign w:val="center"/>
            <w:hideMark/>
          </w:tcPr>
          <w:p w14:paraId="58A98AF5"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7B44B337"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61DA21E2" w14:textId="77777777" w:rsidTr="00C46B71">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255681FF" w14:textId="77777777" w:rsidR="00C46B71" w:rsidRPr="006E0AFE" w:rsidRDefault="00C46B71" w:rsidP="00C46B71">
            <w:pPr>
              <w:jc w:val="right"/>
              <w:rPr>
                <w:color w:val="000000"/>
                <w:sz w:val="20"/>
                <w:szCs w:val="20"/>
              </w:rPr>
            </w:pPr>
            <w:r w:rsidRPr="006E0AFE">
              <w:rPr>
                <w:color w:val="000000"/>
                <w:sz w:val="20"/>
                <w:szCs w:val="20"/>
              </w:rPr>
              <w:t>Rashodi za materijal i energiju</w:t>
            </w:r>
          </w:p>
        </w:tc>
        <w:tc>
          <w:tcPr>
            <w:tcW w:w="1517" w:type="dxa"/>
            <w:tcBorders>
              <w:top w:val="nil"/>
              <w:left w:val="nil"/>
              <w:bottom w:val="single" w:sz="8" w:space="0" w:color="000000"/>
              <w:right w:val="single" w:sz="8" w:space="0" w:color="000000"/>
            </w:tcBorders>
            <w:shd w:val="clear" w:color="000000" w:fill="FFFFFF"/>
            <w:vAlign w:val="center"/>
            <w:hideMark/>
          </w:tcPr>
          <w:p w14:paraId="02C5EAB5" w14:textId="77777777" w:rsidR="00C46B71" w:rsidRPr="006E0AFE" w:rsidRDefault="00C46B71" w:rsidP="00C46B71">
            <w:pPr>
              <w:jc w:val="right"/>
              <w:rPr>
                <w:sz w:val="20"/>
                <w:szCs w:val="20"/>
              </w:rPr>
            </w:pPr>
            <w:r w:rsidRPr="006E0AFE">
              <w:rPr>
                <w:sz w:val="20"/>
                <w:szCs w:val="20"/>
              </w:rPr>
              <w:t>3.156.193</w:t>
            </w:r>
          </w:p>
        </w:tc>
        <w:tc>
          <w:tcPr>
            <w:tcW w:w="1516" w:type="dxa"/>
            <w:tcBorders>
              <w:top w:val="nil"/>
              <w:left w:val="nil"/>
              <w:bottom w:val="single" w:sz="8" w:space="0" w:color="000000"/>
              <w:right w:val="nil"/>
            </w:tcBorders>
            <w:shd w:val="clear" w:color="000000" w:fill="FFFFFF"/>
            <w:vAlign w:val="center"/>
            <w:hideMark/>
          </w:tcPr>
          <w:p w14:paraId="7DC9D7C6" w14:textId="77777777" w:rsidR="00C46B71" w:rsidRPr="006E0AFE" w:rsidRDefault="00C46B71" w:rsidP="00C46B71">
            <w:pPr>
              <w:jc w:val="right"/>
              <w:rPr>
                <w:sz w:val="20"/>
                <w:szCs w:val="20"/>
              </w:rPr>
            </w:pPr>
            <w:r w:rsidRPr="006E0AFE">
              <w:rPr>
                <w:sz w:val="20"/>
                <w:szCs w:val="20"/>
              </w:rPr>
              <w:t>3.655.165</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4367C5B6" w14:textId="77777777" w:rsidR="00C46B71" w:rsidRPr="00C46B71" w:rsidRDefault="00C46B71" w:rsidP="00C46B71">
            <w:pPr>
              <w:jc w:val="center"/>
              <w:rPr>
                <w:sz w:val="20"/>
                <w:szCs w:val="20"/>
              </w:rPr>
            </w:pPr>
            <w:r w:rsidRPr="00C46B71">
              <w:rPr>
                <w:sz w:val="20"/>
                <w:szCs w:val="20"/>
              </w:rPr>
              <w:t>115,8</w:t>
            </w:r>
          </w:p>
        </w:tc>
        <w:tc>
          <w:tcPr>
            <w:tcW w:w="1523" w:type="dxa"/>
            <w:tcBorders>
              <w:top w:val="nil"/>
              <w:left w:val="nil"/>
              <w:bottom w:val="single" w:sz="8" w:space="0" w:color="000000"/>
              <w:right w:val="single" w:sz="8" w:space="0" w:color="000000"/>
            </w:tcBorders>
            <w:shd w:val="clear" w:color="000000" w:fill="D9D9D9"/>
            <w:vAlign w:val="center"/>
            <w:hideMark/>
          </w:tcPr>
          <w:p w14:paraId="7F18AE8E"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70ED7CD0"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5E8C0F4B" w14:textId="77777777" w:rsidTr="00C46B71">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0852D1B7" w14:textId="77777777" w:rsidR="00C46B71" w:rsidRPr="006E0AFE" w:rsidRDefault="00C46B71" w:rsidP="00C46B71">
            <w:pPr>
              <w:jc w:val="right"/>
              <w:rPr>
                <w:color w:val="000000"/>
                <w:sz w:val="20"/>
                <w:szCs w:val="20"/>
              </w:rPr>
            </w:pPr>
            <w:r w:rsidRPr="006E0AFE">
              <w:rPr>
                <w:color w:val="000000"/>
                <w:sz w:val="20"/>
                <w:szCs w:val="20"/>
              </w:rPr>
              <w:t>Rashodi za usluge</w:t>
            </w:r>
          </w:p>
        </w:tc>
        <w:tc>
          <w:tcPr>
            <w:tcW w:w="1517" w:type="dxa"/>
            <w:tcBorders>
              <w:top w:val="nil"/>
              <w:left w:val="nil"/>
              <w:bottom w:val="single" w:sz="8" w:space="0" w:color="000000"/>
              <w:right w:val="single" w:sz="8" w:space="0" w:color="000000"/>
            </w:tcBorders>
            <w:shd w:val="clear" w:color="000000" w:fill="FFFFFF"/>
            <w:vAlign w:val="center"/>
            <w:hideMark/>
          </w:tcPr>
          <w:p w14:paraId="6C44218F" w14:textId="77777777" w:rsidR="00C46B71" w:rsidRPr="006E0AFE" w:rsidRDefault="00C46B71" w:rsidP="00C46B71">
            <w:pPr>
              <w:jc w:val="right"/>
              <w:rPr>
                <w:sz w:val="20"/>
                <w:szCs w:val="20"/>
              </w:rPr>
            </w:pPr>
            <w:r w:rsidRPr="006E0AFE">
              <w:rPr>
                <w:sz w:val="20"/>
                <w:szCs w:val="20"/>
              </w:rPr>
              <w:t>11.834.866</w:t>
            </w:r>
          </w:p>
        </w:tc>
        <w:tc>
          <w:tcPr>
            <w:tcW w:w="1516" w:type="dxa"/>
            <w:tcBorders>
              <w:top w:val="nil"/>
              <w:left w:val="nil"/>
              <w:bottom w:val="single" w:sz="8" w:space="0" w:color="000000"/>
              <w:right w:val="nil"/>
            </w:tcBorders>
            <w:shd w:val="clear" w:color="000000" w:fill="FFFFFF"/>
            <w:vAlign w:val="center"/>
            <w:hideMark/>
          </w:tcPr>
          <w:p w14:paraId="0CC8611D" w14:textId="77777777" w:rsidR="00C46B71" w:rsidRPr="006E0AFE" w:rsidRDefault="00C46B71" w:rsidP="00C46B71">
            <w:pPr>
              <w:jc w:val="right"/>
              <w:rPr>
                <w:sz w:val="20"/>
                <w:szCs w:val="20"/>
              </w:rPr>
            </w:pPr>
            <w:r w:rsidRPr="006E0AFE">
              <w:rPr>
                <w:sz w:val="20"/>
                <w:szCs w:val="20"/>
              </w:rPr>
              <w:t>10.152.280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7E425A3E" w14:textId="77777777" w:rsidR="00C46B71" w:rsidRPr="00C46B71" w:rsidRDefault="00C46B71" w:rsidP="00C46B71">
            <w:pPr>
              <w:jc w:val="center"/>
              <w:rPr>
                <w:sz w:val="20"/>
                <w:szCs w:val="20"/>
              </w:rPr>
            </w:pPr>
            <w:r w:rsidRPr="00C46B71">
              <w:rPr>
                <w:sz w:val="20"/>
                <w:szCs w:val="20"/>
              </w:rPr>
              <w:t>85,8</w:t>
            </w:r>
          </w:p>
        </w:tc>
        <w:tc>
          <w:tcPr>
            <w:tcW w:w="1523" w:type="dxa"/>
            <w:tcBorders>
              <w:top w:val="nil"/>
              <w:left w:val="nil"/>
              <w:bottom w:val="single" w:sz="8" w:space="0" w:color="000000"/>
              <w:right w:val="single" w:sz="8" w:space="0" w:color="000000"/>
            </w:tcBorders>
            <w:shd w:val="clear" w:color="000000" w:fill="D9D9D9"/>
            <w:vAlign w:val="center"/>
            <w:hideMark/>
          </w:tcPr>
          <w:p w14:paraId="528CEC04"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03473A16"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1AAD49C2" w14:textId="77777777" w:rsidTr="00C46B71">
        <w:trPr>
          <w:trHeight w:val="525"/>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3E339E05" w14:textId="77777777" w:rsidR="00C46B71" w:rsidRPr="006E0AFE" w:rsidRDefault="00C46B71" w:rsidP="00C46B71">
            <w:pPr>
              <w:jc w:val="right"/>
              <w:rPr>
                <w:color w:val="000000"/>
                <w:sz w:val="20"/>
                <w:szCs w:val="20"/>
              </w:rPr>
            </w:pPr>
            <w:r w:rsidRPr="006E0AFE">
              <w:rPr>
                <w:color w:val="000000"/>
                <w:sz w:val="20"/>
                <w:szCs w:val="20"/>
              </w:rPr>
              <w:t>Ostali nespomenuti rashodi poslovanja</w:t>
            </w:r>
          </w:p>
        </w:tc>
        <w:tc>
          <w:tcPr>
            <w:tcW w:w="1517" w:type="dxa"/>
            <w:tcBorders>
              <w:top w:val="nil"/>
              <w:left w:val="nil"/>
              <w:bottom w:val="single" w:sz="8" w:space="0" w:color="000000"/>
              <w:right w:val="single" w:sz="8" w:space="0" w:color="000000"/>
            </w:tcBorders>
            <w:shd w:val="clear" w:color="000000" w:fill="FFFFFF"/>
            <w:vAlign w:val="center"/>
            <w:hideMark/>
          </w:tcPr>
          <w:p w14:paraId="5D41F444" w14:textId="77777777" w:rsidR="00C46B71" w:rsidRPr="006E0AFE" w:rsidRDefault="00C46B71" w:rsidP="00C46B71">
            <w:pPr>
              <w:jc w:val="right"/>
              <w:rPr>
                <w:sz w:val="20"/>
                <w:szCs w:val="20"/>
              </w:rPr>
            </w:pPr>
            <w:r w:rsidRPr="006E0AFE">
              <w:rPr>
                <w:sz w:val="20"/>
                <w:szCs w:val="20"/>
              </w:rPr>
              <w:t>2.115.732</w:t>
            </w:r>
          </w:p>
        </w:tc>
        <w:tc>
          <w:tcPr>
            <w:tcW w:w="1516" w:type="dxa"/>
            <w:tcBorders>
              <w:top w:val="nil"/>
              <w:left w:val="nil"/>
              <w:bottom w:val="single" w:sz="8" w:space="0" w:color="000000"/>
              <w:right w:val="nil"/>
            </w:tcBorders>
            <w:shd w:val="clear" w:color="000000" w:fill="FFFFFF"/>
            <w:vAlign w:val="center"/>
            <w:hideMark/>
          </w:tcPr>
          <w:p w14:paraId="4644B55C" w14:textId="77777777" w:rsidR="00C46B71" w:rsidRPr="006E0AFE" w:rsidRDefault="00C46B71" w:rsidP="00C46B71">
            <w:pPr>
              <w:jc w:val="right"/>
              <w:rPr>
                <w:sz w:val="20"/>
                <w:szCs w:val="20"/>
              </w:rPr>
            </w:pPr>
            <w:r w:rsidRPr="006E0AFE">
              <w:rPr>
                <w:sz w:val="20"/>
                <w:szCs w:val="20"/>
              </w:rPr>
              <w:t>2.051.405</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54EE7066" w14:textId="77777777" w:rsidR="00C46B71" w:rsidRPr="00C46B71" w:rsidRDefault="00C46B71" w:rsidP="00C46B71">
            <w:pPr>
              <w:jc w:val="center"/>
              <w:rPr>
                <w:sz w:val="20"/>
                <w:szCs w:val="20"/>
              </w:rPr>
            </w:pPr>
            <w:r w:rsidRPr="00C46B71">
              <w:rPr>
                <w:sz w:val="20"/>
                <w:szCs w:val="20"/>
              </w:rPr>
              <w:t>97,0</w:t>
            </w:r>
          </w:p>
        </w:tc>
        <w:tc>
          <w:tcPr>
            <w:tcW w:w="1523" w:type="dxa"/>
            <w:tcBorders>
              <w:top w:val="nil"/>
              <w:left w:val="nil"/>
              <w:bottom w:val="single" w:sz="8" w:space="0" w:color="000000"/>
              <w:right w:val="single" w:sz="8" w:space="0" w:color="000000"/>
            </w:tcBorders>
            <w:shd w:val="clear" w:color="000000" w:fill="D9D9D9"/>
            <w:vAlign w:val="center"/>
            <w:hideMark/>
          </w:tcPr>
          <w:p w14:paraId="5A5ADB0F"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6A92BEC4"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36DC5650" w14:textId="77777777" w:rsidTr="00C46B71">
        <w:trPr>
          <w:trHeight w:val="522"/>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04F3682E" w14:textId="77777777" w:rsidR="00C46B71" w:rsidRPr="006E0AFE" w:rsidRDefault="00C46B71" w:rsidP="00C46B71">
            <w:pPr>
              <w:jc w:val="center"/>
              <w:rPr>
                <w:b/>
                <w:bCs/>
                <w:color w:val="000000"/>
                <w:sz w:val="20"/>
                <w:szCs w:val="20"/>
              </w:rPr>
            </w:pPr>
            <w:r w:rsidRPr="006E0AFE">
              <w:rPr>
                <w:b/>
                <w:bCs/>
                <w:color w:val="000000"/>
                <w:sz w:val="20"/>
                <w:szCs w:val="20"/>
              </w:rPr>
              <w:t>1.C FINANCIJSKI RASHODI (34)</w:t>
            </w:r>
          </w:p>
        </w:tc>
        <w:tc>
          <w:tcPr>
            <w:tcW w:w="1517" w:type="dxa"/>
            <w:tcBorders>
              <w:top w:val="nil"/>
              <w:left w:val="nil"/>
              <w:bottom w:val="single" w:sz="8" w:space="0" w:color="000000"/>
              <w:right w:val="single" w:sz="8" w:space="0" w:color="000000"/>
            </w:tcBorders>
            <w:shd w:val="clear" w:color="000000" w:fill="FFFFFF"/>
            <w:vAlign w:val="center"/>
            <w:hideMark/>
          </w:tcPr>
          <w:p w14:paraId="08F051E1" w14:textId="77777777" w:rsidR="00C46B71" w:rsidRPr="006E0AFE" w:rsidRDefault="00C46B71" w:rsidP="00C46B71">
            <w:pPr>
              <w:jc w:val="right"/>
              <w:rPr>
                <w:b/>
                <w:bCs/>
                <w:color w:val="000000"/>
                <w:sz w:val="20"/>
                <w:szCs w:val="20"/>
              </w:rPr>
            </w:pPr>
            <w:r w:rsidRPr="006E0AFE">
              <w:rPr>
                <w:b/>
                <w:bCs/>
                <w:color w:val="000000"/>
                <w:sz w:val="20"/>
                <w:szCs w:val="20"/>
              </w:rPr>
              <w:t>501.740</w:t>
            </w:r>
          </w:p>
        </w:tc>
        <w:tc>
          <w:tcPr>
            <w:tcW w:w="1516" w:type="dxa"/>
            <w:tcBorders>
              <w:top w:val="nil"/>
              <w:left w:val="nil"/>
              <w:bottom w:val="single" w:sz="8" w:space="0" w:color="000000"/>
              <w:right w:val="single" w:sz="8" w:space="0" w:color="000000"/>
            </w:tcBorders>
            <w:shd w:val="clear" w:color="000000" w:fill="FFFFFF"/>
            <w:vAlign w:val="center"/>
            <w:hideMark/>
          </w:tcPr>
          <w:p w14:paraId="0681DBD0" w14:textId="77777777" w:rsidR="00C46B71" w:rsidRPr="006E0AFE" w:rsidRDefault="00C46B71" w:rsidP="00C46B71">
            <w:pPr>
              <w:jc w:val="right"/>
              <w:rPr>
                <w:b/>
                <w:bCs/>
                <w:color w:val="000000"/>
                <w:sz w:val="20"/>
                <w:szCs w:val="20"/>
              </w:rPr>
            </w:pPr>
            <w:r w:rsidRPr="006E0AFE">
              <w:rPr>
                <w:b/>
                <w:bCs/>
                <w:color w:val="000000"/>
                <w:sz w:val="20"/>
                <w:szCs w:val="20"/>
              </w:rPr>
              <w:t>814.550</w:t>
            </w:r>
          </w:p>
        </w:tc>
        <w:tc>
          <w:tcPr>
            <w:tcW w:w="1072" w:type="dxa"/>
            <w:tcBorders>
              <w:top w:val="nil"/>
              <w:left w:val="nil"/>
              <w:bottom w:val="single" w:sz="8" w:space="0" w:color="000000"/>
              <w:right w:val="single" w:sz="8" w:space="0" w:color="000000"/>
            </w:tcBorders>
            <w:shd w:val="clear" w:color="000000" w:fill="FFFFFF"/>
            <w:vAlign w:val="center"/>
            <w:hideMark/>
          </w:tcPr>
          <w:p w14:paraId="3EDA8172" w14:textId="77777777" w:rsidR="00C46B71" w:rsidRPr="00C46B71" w:rsidRDefault="00C46B71" w:rsidP="00C46B71">
            <w:pPr>
              <w:jc w:val="center"/>
              <w:rPr>
                <w:b/>
                <w:sz w:val="20"/>
                <w:szCs w:val="20"/>
              </w:rPr>
            </w:pPr>
            <w:r w:rsidRPr="00C46B71">
              <w:rPr>
                <w:b/>
                <w:sz w:val="20"/>
                <w:szCs w:val="20"/>
              </w:rPr>
              <w:t>162,3</w:t>
            </w:r>
          </w:p>
        </w:tc>
        <w:tc>
          <w:tcPr>
            <w:tcW w:w="1523" w:type="dxa"/>
            <w:tcBorders>
              <w:top w:val="nil"/>
              <w:left w:val="nil"/>
              <w:bottom w:val="single" w:sz="8" w:space="0" w:color="000000"/>
              <w:right w:val="single" w:sz="8" w:space="0" w:color="000000"/>
            </w:tcBorders>
            <w:shd w:val="clear" w:color="000000" w:fill="FFFFFF"/>
            <w:vAlign w:val="center"/>
            <w:hideMark/>
          </w:tcPr>
          <w:p w14:paraId="5FA4C5CF" w14:textId="77777777" w:rsidR="00C46B71" w:rsidRPr="006E0AFE" w:rsidRDefault="00C46B71" w:rsidP="00C46B71">
            <w:pPr>
              <w:jc w:val="right"/>
              <w:rPr>
                <w:b/>
                <w:bCs/>
                <w:sz w:val="20"/>
                <w:szCs w:val="20"/>
              </w:rPr>
            </w:pPr>
            <w:r w:rsidRPr="006E0AFE">
              <w:rPr>
                <w:b/>
                <w:bCs/>
                <w:sz w:val="20"/>
                <w:szCs w:val="20"/>
              </w:rPr>
              <w:t>816.550</w:t>
            </w:r>
          </w:p>
        </w:tc>
        <w:tc>
          <w:tcPr>
            <w:tcW w:w="1523" w:type="dxa"/>
            <w:tcBorders>
              <w:top w:val="nil"/>
              <w:left w:val="nil"/>
              <w:bottom w:val="single" w:sz="8" w:space="0" w:color="000000"/>
              <w:right w:val="single" w:sz="8" w:space="0" w:color="000000"/>
            </w:tcBorders>
            <w:shd w:val="clear" w:color="000000" w:fill="FFFFFF"/>
            <w:vAlign w:val="center"/>
            <w:hideMark/>
          </w:tcPr>
          <w:p w14:paraId="4F457668" w14:textId="77777777" w:rsidR="00C46B71" w:rsidRPr="006E0AFE" w:rsidRDefault="00C46B71" w:rsidP="00C46B71">
            <w:pPr>
              <w:jc w:val="right"/>
              <w:rPr>
                <w:b/>
                <w:bCs/>
                <w:sz w:val="20"/>
                <w:szCs w:val="20"/>
              </w:rPr>
            </w:pPr>
            <w:r w:rsidRPr="006E0AFE">
              <w:rPr>
                <w:b/>
                <w:bCs/>
                <w:sz w:val="20"/>
                <w:szCs w:val="20"/>
              </w:rPr>
              <w:t>726.550</w:t>
            </w:r>
          </w:p>
        </w:tc>
      </w:tr>
      <w:tr w:rsidR="00C46B71" w:rsidRPr="006E0AFE" w14:paraId="0DDA414B" w14:textId="77777777" w:rsidTr="00C46B71">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3DE80F6F" w14:textId="77777777" w:rsidR="00C46B71" w:rsidRPr="006E0AFE" w:rsidRDefault="00C46B71" w:rsidP="00C46B71">
            <w:pPr>
              <w:jc w:val="right"/>
              <w:rPr>
                <w:color w:val="000000"/>
                <w:sz w:val="20"/>
                <w:szCs w:val="20"/>
              </w:rPr>
            </w:pPr>
            <w:r w:rsidRPr="006E0AFE">
              <w:rPr>
                <w:color w:val="000000"/>
                <w:sz w:val="20"/>
                <w:szCs w:val="20"/>
              </w:rPr>
              <w:t>Kamate za primljene kredite i zajmove</w:t>
            </w:r>
          </w:p>
        </w:tc>
        <w:tc>
          <w:tcPr>
            <w:tcW w:w="1517" w:type="dxa"/>
            <w:tcBorders>
              <w:top w:val="nil"/>
              <w:left w:val="nil"/>
              <w:bottom w:val="single" w:sz="8" w:space="0" w:color="000000"/>
              <w:right w:val="single" w:sz="8" w:space="0" w:color="000000"/>
            </w:tcBorders>
            <w:shd w:val="clear" w:color="000000" w:fill="FFFFFF"/>
            <w:vAlign w:val="center"/>
            <w:hideMark/>
          </w:tcPr>
          <w:p w14:paraId="0AA4DD09" w14:textId="77777777" w:rsidR="00C46B71" w:rsidRPr="006E0AFE" w:rsidRDefault="00C46B71" w:rsidP="00C46B71">
            <w:pPr>
              <w:jc w:val="right"/>
              <w:rPr>
                <w:sz w:val="20"/>
                <w:szCs w:val="20"/>
              </w:rPr>
            </w:pPr>
            <w:r w:rsidRPr="006E0AFE">
              <w:rPr>
                <w:sz w:val="20"/>
                <w:szCs w:val="20"/>
              </w:rPr>
              <w:t>414.700</w:t>
            </w:r>
          </w:p>
        </w:tc>
        <w:tc>
          <w:tcPr>
            <w:tcW w:w="1516" w:type="dxa"/>
            <w:tcBorders>
              <w:top w:val="nil"/>
              <w:left w:val="nil"/>
              <w:bottom w:val="single" w:sz="8" w:space="0" w:color="000000"/>
              <w:right w:val="nil"/>
            </w:tcBorders>
            <w:shd w:val="clear" w:color="000000" w:fill="FFFFFF"/>
            <w:vAlign w:val="center"/>
            <w:hideMark/>
          </w:tcPr>
          <w:p w14:paraId="71C04F39" w14:textId="77777777" w:rsidR="00C46B71" w:rsidRPr="006E0AFE" w:rsidRDefault="00C46B71" w:rsidP="00C46B71">
            <w:pPr>
              <w:jc w:val="right"/>
              <w:rPr>
                <w:sz w:val="20"/>
                <w:szCs w:val="20"/>
              </w:rPr>
            </w:pPr>
            <w:r w:rsidRPr="006E0AFE">
              <w:rPr>
                <w:sz w:val="20"/>
                <w:szCs w:val="20"/>
              </w:rPr>
              <w:t>663.000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79AC3D4F" w14:textId="77777777" w:rsidR="00C46B71" w:rsidRPr="00C46B71" w:rsidRDefault="00C46B71" w:rsidP="00C46B71">
            <w:pPr>
              <w:jc w:val="center"/>
              <w:rPr>
                <w:sz w:val="20"/>
                <w:szCs w:val="20"/>
              </w:rPr>
            </w:pPr>
            <w:r w:rsidRPr="00C46B71">
              <w:rPr>
                <w:sz w:val="20"/>
                <w:szCs w:val="20"/>
              </w:rPr>
              <w:t>159,9</w:t>
            </w:r>
          </w:p>
        </w:tc>
        <w:tc>
          <w:tcPr>
            <w:tcW w:w="1523" w:type="dxa"/>
            <w:tcBorders>
              <w:top w:val="nil"/>
              <w:left w:val="nil"/>
              <w:bottom w:val="single" w:sz="8" w:space="0" w:color="000000"/>
              <w:right w:val="single" w:sz="8" w:space="0" w:color="000000"/>
            </w:tcBorders>
            <w:shd w:val="clear" w:color="000000" w:fill="D9D9D9"/>
            <w:vAlign w:val="center"/>
            <w:hideMark/>
          </w:tcPr>
          <w:p w14:paraId="5FB8E66D"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536CBEA2"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1702C4A1" w14:textId="77777777" w:rsidTr="00C46B71">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09079811" w14:textId="77777777" w:rsidR="00C46B71" w:rsidRPr="006E0AFE" w:rsidRDefault="00C46B71" w:rsidP="00C46B71">
            <w:pPr>
              <w:jc w:val="right"/>
              <w:rPr>
                <w:color w:val="000000"/>
                <w:sz w:val="20"/>
                <w:szCs w:val="20"/>
              </w:rPr>
            </w:pPr>
            <w:r w:rsidRPr="006E0AFE">
              <w:rPr>
                <w:color w:val="000000"/>
                <w:sz w:val="20"/>
                <w:szCs w:val="20"/>
              </w:rPr>
              <w:t>Ostali financijski rashodi</w:t>
            </w:r>
          </w:p>
        </w:tc>
        <w:tc>
          <w:tcPr>
            <w:tcW w:w="1517" w:type="dxa"/>
            <w:tcBorders>
              <w:top w:val="nil"/>
              <w:left w:val="nil"/>
              <w:bottom w:val="single" w:sz="8" w:space="0" w:color="000000"/>
              <w:right w:val="single" w:sz="8" w:space="0" w:color="000000"/>
            </w:tcBorders>
            <w:shd w:val="clear" w:color="000000" w:fill="FFFFFF"/>
            <w:vAlign w:val="center"/>
            <w:hideMark/>
          </w:tcPr>
          <w:p w14:paraId="03617209" w14:textId="77777777" w:rsidR="00C46B71" w:rsidRPr="006E0AFE" w:rsidRDefault="00C46B71" w:rsidP="00C46B71">
            <w:pPr>
              <w:jc w:val="right"/>
              <w:rPr>
                <w:sz w:val="20"/>
                <w:szCs w:val="20"/>
              </w:rPr>
            </w:pPr>
            <w:r w:rsidRPr="006E0AFE">
              <w:rPr>
                <w:sz w:val="20"/>
                <w:szCs w:val="20"/>
              </w:rPr>
              <w:t>87.040</w:t>
            </w:r>
          </w:p>
        </w:tc>
        <w:tc>
          <w:tcPr>
            <w:tcW w:w="1516" w:type="dxa"/>
            <w:tcBorders>
              <w:top w:val="nil"/>
              <w:left w:val="nil"/>
              <w:bottom w:val="single" w:sz="8" w:space="0" w:color="000000"/>
              <w:right w:val="nil"/>
            </w:tcBorders>
            <w:shd w:val="clear" w:color="000000" w:fill="FFFFFF"/>
            <w:vAlign w:val="center"/>
            <w:hideMark/>
          </w:tcPr>
          <w:p w14:paraId="4C607D0A" w14:textId="77777777" w:rsidR="00C46B71" w:rsidRPr="006E0AFE" w:rsidRDefault="00C46B71" w:rsidP="00C46B71">
            <w:pPr>
              <w:jc w:val="right"/>
              <w:rPr>
                <w:sz w:val="20"/>
                <w:szCs w:val="20"/>
              </w:rPr>
            </w:pPr>
            <w:r w:rsidRPr="006E0AFE">
              <w:rPr>
                <w:sz w:val="20"/>
                <w:szCs w:val="20"/>
              </w:rPr>
              <w:t>151.550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2CA9C432" w14:textId="77777777" w:rsidR="00C46B71" w:rsidRPr="00C46B71" w:rsidRDefault="00C46B71" w:rsidP="00C46B71">
            <w:pPr>
              <w:jc w:val="center"/>
              <w:rPr>
                <w:sz w:val="20"/>
                <w:szCs w:val="20"/>
              </w:rPr>
            </w:pPr>
            <w:r w:rsidRPr="00C46B71">
              <w:rPr>
                <w:sz w:val="20"/>
                <w:szCs w:val="20"/>
              </w:rPr>
              <w:t>174,1</w:t>
            </w:r>
          </w:p>
        </w:tc>
        <w:tc>
          <w:tcPr>
            <w:tcW w:w="1523" w:type="dxa"/>
            <w:tcBorders>
              <w:top w:val="nil"/>
              <w:left w:val="nil"/>
              <w:bottom w:val="single" w:sz="8" w:space="0" w:color="000000"/>
              <w:right w:val="single" w:sz="8" w:space="0" w:color="000000"/>
            </w:tcBorders>
            <w:shd w:val="clear" w:color="000000" w:fill="D9D9D9"/>
            <w:vAlign w:val="center"/>
            <w:hideMark/>
          </w:tcPr>
          <w:p w14:paraId="07D88AA8"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194C165E"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3C98527F" w14:textId="77777777" w:rsidTr="00C46B71">
        <w:trPr>
          <w:trHeight w:val="522"/>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603E1BF8" w14:textId="77777777" w:rsidR="00C46B71" w:rsidRPr="006E0AFE" w:rsidRDefault="00C46B71" w:rsidP="00C46B71">
            <w:pPr>
              <w:jc w:val="center"/>
              <w:rPr>
                <w:b/>
                <w:bCs/>
                <w:color w:val="000000"/>
                <w:sz w:val="20"/>
                <w:szCs w:val="20"/>
              </w:rPr>
            </w:pPr>
            <w:r w:rsidRPr="006E0AFE">
              <w:rPr>
                <w:b/>
                <w:bCs/>
                <w:color w:val="000000"/>
                <w:sz w:val="20"/>
                <w:szCs w:val="20"/>
              </w:rPr>
              <w:t>1. D SUBVENCIJE (35)</w:t>
            </w:r>
          </w:p>
        </w:tc>
        <w:tc>
          <w:tcPr>
            <w:tcW w:w="1517" w:type="dxa"/>
            <w:tcBorders>
              <w:top w:val="nil"/>
              <w:left w:val="nil"/>
              <w:bottom w:val="single" w:sz="8" w:space="0" w:color="000000"/>
              <w:right w:val="single" w:sz="8" w:space="0" w:color="000000"/>
            </w:tcBorders>
            <w:shd w:val="clear" w:color="000000" w:fill="FFFFFF"/>
            <w:vAlign w:val="center"/>
            <w:hideMark/>
          </w:tcPr>
          <w:p w14:paraId="49C3DDDF" w14:textId="77777777" w:rsidR="00C46B71" w:rsidRPr="006E0AFE" w:rsidRDefault="00C46B71" w:rsidP="00C46B71">
            <w:pPr>
              <w:jc w:val="right"/>
              <w:rPr>
                <w:b/>
                <w:bCs/>
                <w:color w:val="000000"/>
                <w:sz w:val="20"/>
                <w:szCs w:val="20"/>
              </w:rPr>
            </w:pPr>
            <w:r w:rsidRPr="006E0AFE">
              <w:rPr>
                <w:b/>
                <w:bCs/>
                <w:color w:val="000000"/>
                <w:sz w:val="20"/>
                <w:szCs w:val="20"/>
              </w:rPr>
              <w:t>4.610.000</w:t>
            </w:r>
          </w:p>
        </w:tc>
        <w:tc>
          <w:tcPr>
            <w:tcW w:w="1516" w:type="dxa"/>
            <w:tcBorders>
              <w:top w:val="nil"/>
              <w:left w:val="nil"/>
              <w:bottom w:val="single" w:sz="8" w:space="0" w:color="000000"/>
              <w:right w:val="single" w:sz="8" w:space="0" w:color="000000"/>
            </w:tcBorders>
            <w:shd w:val="clear" w:color="000000" w:fill="FFFFFF"/>
            <w:vAlign w:val="center"/>
            <w:hideMark/>
          </w:tcPr>
          <w:p w14:paraId="7A23999C" w14:textId="77777777" w:rsidR="00C46B71" w:rsidRPr="006E0AFE" w:rsidRDefault="00C46B71" w:rsidP="00C46B71">
            <w:pPr>
              <w:jc w:val="right"/>
              <w:rPr>
                <w:b/>
                <w:bCs/>
                <w:color w:val="000000"/>
                <w:sz w:val="20"/>
                <w:szCs w:val="20"/>
              </w:rPr>
            </w:pPr>
            <w:r w:rsidRPr="006E0AFE">
              <w:rPr>
                <w:b/>
                <w:bCs/>
                <w:color w:val="000000"/>
                <w:sz w:val="20"/>
                <w:szCs w:val="20"/>
              </w:rPr>
              <w:t>4.060.000</w:t>
            </w:r>
          </w:p>
        </w:tc>
        <w:tc>
          <w:tcPr>
            <w:tcW w:w="1072" w:type="dxa"/>
            <w:tcBorders>
              <w:top w:val="nil"/>
              <w:left w:val="nil"/>
              <w:bottom w:val="single" w:sz="8" w:space="0" w:color="000000"/>
              <w:right w:val="single" w:sz="8" w:space="0" w:color="000000"/>
            </w:tcBorders>
            <w:shd w:val="clear" w:color="000000" w:fill="FFFFFF"/>
            <w:vAlign w:val="center"/>
            <w:hideMark/>
          </w:tcPr>
          <w:p w14:paraId="42C90190" w14:textId="77777777" w:rsidR="00C46B71" w:rsidRPr="00C46B71" w:rsidRDefault="00C46B71" w:rsidP="00C46B71">
            <w:pPr>
              <w:jc w:val="center"/>
              <w:rPr>
                <w:b/>
                <w:sz w:val="20"/>
                <w:szCs w:val="20"/>
              </w:rPr>
            </w:pPr>
            <w:r w:rsidRPr="00C46B71">
              <w:rPr>
                <w:b/>
                <w:sz w:val="20"/>
                <w:szCs w:val="20"/>
              </w:rPr>
              <w:t>88,1</w:t>
            </w:r>
          </w:p>
        </w:tc>
        <w:tc>
          <w:tcPr>
            <w:tcW w:w="1523" w:type="dxa"/>
            <w:tcBorders>
              <w:top w:val="nil"/>
              <w:left w:val="nil"/>
              <w:bottom w:val="single" w:sz="8" w:space="0" w:color="000000"/>
              <w:right w:val="single" w:sz="8" w:space="0" w:color="000000"/>
            </w:tcBorders>
            <w:shd w:val="clear" w:color="000000" w:fill="FFFFFF"/>
            <w:vAlign w:val="center"/>
            <w:hideMark/>
          </w:tcPr>
          <w:p w14:paraId="344DCFF3" w14:textId="77777777" w:rsidR="00C46B71" w:rsidRPr="006E0AFE" w:rsidRDefault="00C46B71" w:rsidP="00C46B71">
            <w:pPr>
              <w:jc w:val="right"/>
              <w:rPr>
                <w:b/>
                <w:bCs/>
                <w:sz w:val="20"/>
                <w:szCs w:val="20"/>
              </w:rPr>
            </w:pPr>
            <w:r w:rsidRPr="006E0AFE">
              <w:rPr>
                <w:b/>
                <w:bCs/>
                <w:sz w:val="20"/>
                <w:szCs w:val="20"/>
              </w:rPr>
              <w:t>4.722.000</w:t>
            </w:r>
          </w:p>
        </w:tc>
        <w:tc>
          <w:tcPr>
            <w:tcW w:w="1523" w:type="dxa"/>
            <w:tcBorders>
              <w:top w:val="nil"/>
              <w:left w:val="nil"/>
              <w:bottom w:val="single" w:sz="8" w:space="0" w:color="000000"/>
              <w:right w:val="single" w:sz="8" w:space="0" w:color="000000"/>
            </w:tcBorders>
            <w:shd w:val="clear" w:color="000000" w:fill="FFFFFF"/>
            <w:vAlign w:val="center"/>
            <w:hideMark/>
          </w:tcPr>
          <w:p w14:paraId="282F6091" w14:textId="77777777" w:rsidR="00C46B71" w:rsidRPr="006E0AFE" w:rsidRDefault="00C46B71" w:rsidP="00C46B71">
            <w:pPr>
              <w:jc w:val="right"/>
              <w:rPr>
                <w:b/>
                <w:bCs/>
                <w:sz w:val="20"/>
                <w:szCs w:val="20"/>
              </w:rPr>
            </w:pPr>
            <w:r w:rsidRPr="006E0AFE">
              <w:rPr>
                <w:b/>
                <w:bCs/>
                <w:sz w:val="20"/>
                <w:szCs w:val="20"/>
              </w:rPr>
              <w:t>4.080.000</w:t>
            </w:r>
          </w:p>
        </w:tc>
      </w:tr>
      <w:tr w:rsidR="00C46B71" w:rsidRPr="006E0AFE" w14:paraId="14E0370A" w14:textId="77777777" w:rsidTr="00C46B71">
        <w:trPr>
          <w:trHeight w:val="525"/>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3AA1B857" w14:textId="77777777" w:rsidR="00C46B71" w:rsidRPr="006E0AFE" w:rsidRDefault="00C46B71" w:rsidP="00C46B71">
            <w:pPr>
              <w:jc w:val="right"/>
              <w:rPr>
                <w:color w:val="000000"/>
                <w:sz w:val="20"/>
                <w:szCs w:val="20"/>
              </w:rPr>
            </w:pPr>
            <w:r w:rsidRPr="006E0AFE">
              <w:rPr>
                <w:color w:val="000000"/>
                <w:sz w:val="20"/>
                <w:szCs w:val="20"/>
              </w:rPr>
              <w:t>Subvencije trgovačkim društvima u javnom sektoru</w:t>
            </w:r>
          </w:p>
        </w:tc>
        <w:tc>
          <w:tcPr>
            <w:tcW w:w="1517" w:type="dxa"/>
            <w:tcBorders>
              <w:top w:val="nil"/>
              <w:left w:val="nil"/>
              <w:bottom w:val="single" w:sz="8" w:space="0" w:color="000000"/>
              <w:right w:val="single" w:sz="8" w:space="0" w:color="000000"/>
            </w:tcBorders>
            <w:shd w:val="clear" w:color="000000" w:fill="FFFFFF"/>
            <w:vAlign w:val="center"/>
            <w:hideMark/>
          </w:tcPr>
          <w:p w14:paraId="6929B227" w14:textId="77777777" w:rsidR="00C46B71" w:rsidRPr="006E0AFE" w:rsidRDefault="00C46B71" w:rsidP="00C46B71">
            <w:pPr>
              <w:jc w:val="right"/>
              <w:rPr>
                <w:sz w:val="20"/>
                <w:szCs w:val="20"/>
              </w:rPr>
            </w:pPr>
            <w:r w:rsidRPr="006E0AFE">
              <w:rPr>
                <w:sz w:val="20"/>
                <w:szCs w:val="20"/>
              </w:rPr>
              <w:t>3.830.000</w:t>
            </w:r>
          </w:p>
        </w:tc>
        <w:tc>
          <w:tcPr>
            <w:tcW w:w="1516" w:type="dxa"/>
            <w:tcBorders>
              <w:top w:val="nil"/>
              <w:left w:val="nil"/>
              <w:bottom w:val="single" w:sz="8" w:space="0" w:color="000000"/>
              <w:right w:val="nil"/>
            </w:tcBorders>
            <w:shd w:val="clear" w:color="000000" w:fill="FFFFFF"/>
            <w:vAlign w:val="center"/>
            <w:hideMark/>
          </w:tcPr>
          <w:p w14:paraId="7FA4661E" w14:textId="77777777" w:rsidR="00C46B71" w:rsidRPr="006E0AFE" w:rsidRDefault="00C46B71" w:rsidP="00C46B71">
            <w:pPr>
              <w:jc w:val="right"/>
              <w:rPr>
                <w:sz w:val="20"/>
                <w:szCs w:val="20"/>
              </w:rPr>
            </w:pPr>
            <w:r w:rsidRPr="006E0AFE">
              <w:rPr>
                <w:sz w:val="20"/>
                <w:szCs w:val="20"/>
              </w:rPr>
              <w:t>3.450.000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60EE98F0" w14:textId="77777777" w:rsidR="00C46B71" w:rsidRPr="00C46B71" w:rsidRDefault="00C46B71" w:rsidP="00C46B71">
            <w:pPr>
              <w:jc w:val="center"/>
              <w:rPr>
                <w:sz w:val="20"/>
                <w:szCs w:val="20"/>
              </w:rPr>
            </w:pPr>
            <w:r w:rsidRPr="00C46B71">
              <w:rPr>
                <w:sz w:val="20"/>
                <w:szCs w:val="20"/>
              </w:rPr>
              <w:t>90,1</w:t>
            </w:r>
          </w:p>
        </w:tc>
        <w:tc>
          <w:tcPr>
            <w:tcW w:w="1523" w:type="dxa"/>
            <w:tcBorders>
              <w:top w:val="nil"/>
              <w:left w:val="nil"/>
              <w:bottom w:val="single" w:sz="8" w:space="0" w:color="000000"/>
              <w:right w:val="single" w:sz="8" w:space="0" w:color="000000"/>
            </w:tcBorders>
            <w:shd w:val="clear" w:color="000000" w:fill="D9D9D9"/>
            <w:vAlign w:val="center"/>
            <w:hideMark/>
          </w:tcPr>
          <w:p w14:paraId="3C6E1BC2"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672BC2E2"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301DB497" w14:textId="77777777" w:rsidTr="00C46B71">
        <w:trPr>
          <w:trHeight w:val="78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78AC336D" w14:textId="77777777" w:rsidR="00C46B71" w:rsidRPr="006E0AFE" w:rsidRDefault="00C46B71" w:rsidP="00C46B71">
            <w:pPr>
              <w:jc w:val="right"/>
              <w:rPr>
                <w:color w:val="000000"/>
                <w:sz w:val="20"/>
                <w:szCs w:val="20"/>
              </w:rPr>
            </w:pPr>
            <w:r w:rsidRPr="006E0AFE">
              <w:rPr>
                <w:color w:val="000000"/>
                <w:sz w:val="20"/>
                <w:szCs w:val="20"/>
              </w:rPr>
              <w:t>Subvencije trgovačkim društvima, poljoprivrednicima i obrtnicima izvan javnog sektora</w:t>
            </w:r>
          </w:p>
        </w:tc>
        <w:tc>
          <w:tcPr>
            <w:tcW w:w="1517" w:type="dxa"/>
            <w:tcBorders>
              <w:top w:val="nil"/>
              <w:left w:val="nil"/>
              <w:bottom w:val="single" w:sz="8" w:space="0" w:color="000000"/>
              <w:right w:val="single" w:sz="8" w:space="0" w:color="000000"/>
            </w:tcBorders>
            <w:shd w:val="clear" w:color="000000" w:fill="FFFFFF"/>
            <w:vAlign w:val="center"/>
            <w:hideMark/>
          </w:tcPr>
          <w:p w14:paraId="013DD0AA" w14:textId="77777777" w:rsidR="00C46B71" w:rsidRPr="006E0AFE" w:rsidRDefault="00C46B71" w:rsidP="00C46B71">
            <w:pPr>
              <w:jc w:val="right"/>
              <w:rPr>
                <w:sz w:val="20"/>
                <w:szCs w:val="20"/>
              </w:rPr>
            </w:pPr>
            <w:r w:rsidRPr="006E0AFE">
              <w:rPr>
                <w:sz w:val="20"/>
                <w:szCs w:val="20"/>
              </w:rPr>
              <w:t>780.000</w:t>
            </w:r>
          </w:p>
        </w:tc>
        <w:tc>
          <w:tcPr>
            <w:tcW w:w="1516" w:type="dxa"/>
            <w:tcBorders>
              <w:top w:val="nil"/>
              <w:left w:val="nil"/>
              <w:bottom w:val="single" w:sz="8" w:space="0" w:color="000000"/>
              <w:right w:val="nil"/>
            </w:tcBorders>
            <w:shd w:val="clear" w:color="000000" w:fill="FFFFFF"/>
            <w:vAlign w:val="center"/>
            <w:hideMark/>
          </w:tcPr>
          <w:p w14:paraId="3B7ACB2C" w14:textId="77777777" w:rsidR="00C46B71" w:rsidRPr="006E0AFE" w:rsidRDefault="00C46B71" w:rsidP="00C46B71">
            <w:pPr>
              <w:jc w:val="right"/>
              <w:rPr>
                <w:sz w:val="20"/>
                <w:szCs w:val="20"/>
              </w:rPr>
            </w:pPr>
            <w:r w:rsidRPr="006E0AFE">
              <w:rPr>
                <w:sz w:val="20"/>
                <w:szCs w:val="20"/>
              </w:rPr>
              <w:t>610.000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70D1206A" w14:textId="77777777" w:rsidR="00C46B71" w:rsidRPr="00C46B71" w:rsidRDefault="00C46B71" w:rsidP="00C46B71">
            <w:pPr>
              <w:jc w:val="center"/>
              <w:rPr>
                <w:sz w:val="20"/>
                <w:szCs w:val="20"/>
              </w:rPr>
            </w:pPr>
            <w:r w:rsidRPr="00C46B71">
              <w:rPr>
                <w:sz w:val="20"/>
                <w:szCs w:val="20"/>
              </w:rPr>
              <w:t>78,2</w:t>
            </w:r>
          </w:p>
        </w:tc>
        <w:tc>
          <w:tcPr>
            <w:tcW w:w="1523" w:type="dxa"/>
            <w:tcBorders>
              <w:top w:val="nil"/>
              <w:left w:val="nil"/>
              <w:bottom w:val="single" w:sz="8" w:space="0" w:color="000000"/>
              <w:right w:val="single" w:sz="8" w:space="0" w:color="000000"/>
            </w:tcBorders>
            <w:shd w:val="clear" w:color="000000" w:fill="D9D9D9"/>
            <w:vAlign w:val="center"/>
            <w:hideMark/>
          </w:tcPr>
          <w:p w14:paraId="21D5681D"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1307DFB4"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6B80AAC5" w14:textId="77777777" w:rsidTr="00C46B71">
        <w:trPr>
          <w:trHeight w:val="78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7EA5C12B" w14:textId="77777777" w:rsidR="00C46B71" w:rsidRPr="006E0AFE" w:rsidRDefault="00C46B71" w:rsidP="00C46B71">
            <w:pPr>
              <w:jc w:val="center"/>
              <w:rPr>
                <w:b/>
                <w:bCs/>
                <w:color w:val="000000"/>
                <w:sz w:val="20"/>
                <w:szCs w:val="20"/>
              </w:rPr>
            </w:pPr>
            <w:r w:rsidRPr="006E0AFE">
              <w:rPr>
                <w:b/>
                <w:bCs/>
                <w:color w:val="000000"/>
                <w:sz w:val="20"/>
                <w:szCs w:val="20"/>
              </w:rPr>
              <w:t>1.E POMOĆI DANE U INOZEMSTVO I UNUTAR OPĆEG PRORAČUNA (36)</w:t>
            </w:r>
          </w:p>
        </w:tc>
        <w:tc>
          <w:tcPr>
            <w:tcW w:w="1517" w:type="dxa"/>
            <w:tcBorders>
              <w:top w:val="nil"/>
              <w:left w:val="nil"/>
              <w:bottom w:val="single" w:sz="8" w:space="0" w:color="000000"/>
              <w:right w:val="single" w:sz="8" w:space="0" w:color="000000"/>
            </w:tcBorders>
            <w:shd w:val="clear" w:color="000000" w:fill="FFFFFF"/>
            <w:vAlign w:val="center"/>
            <w:hideMark/>
          </w:tcPr>
          <w:p w14:paraId="37F0974B" w14:textId="77777777" w:rsidR="00C46B71" w:rsidRPr="006E0AFE" w:rsidRDefault="00C46B71" w:rsidP="00C46B71">
            <w:pPr>
              <w:jc w:val="right"/>
              <w:rPr>
                <w:b/>
                <w:bCs/>
                <w:sz w:val="20"/>
                <w:szCs w:val="20"/>
              </w:rPr>
            </w:pPr>
            <w:r w:rsidRPr="006E0AFE">
              <w:rPr>
                <w:b/>
                <w:bCs/>
                <w:sz w:val="20"/>
                <w:szCs w:val="20"/>
              </w:rPr>
              <w:t>4.650.086</w:t>
            </w:r>
          </w:p>
        </w:tc>
        <w:tc>
          <w:tcPr>
            <w:tcW w:w="1516" w:type="dxa"/>
            <w:tcBorders>
              <w:top w:val="nil"/>
              <w:left w:val="nil"/>
              <w:bottom w:val="single" w:sz="8" w:space="0" w:color="000000"/>
              <w:right w:val="single" w:sz="8" w:space="0" w:color="000000"/>
            </w:tcBorders>
            <w:shd w:val="clear" w:color="000000" w:fill="FFFFFF"/>
            <w:vAlign w:val="center"/>
            <w:hideMark/>
          </w:tcPr>
          <w:p w14:paraId="23E8D7B6" w14:textId="77777777" w:rsidR="00C46B71" w:rsidRPr="006E0AFE" w:rsidRDefault="00C46B71" w:rsidP="00C46B71">
            <w:pPr>
              <w:jc w:val="right"/>
              <w:rPr>
                <w:b/>
                <w:bCs/>
                <w:sz w:val="20"/>
                <w:szCs w:val="20"/>
              </w:rPr>
            </w:pPr>
            <w:r w:rsidRPr="006E0AFE">
              <w:rPr>
                <w:b/>
                <w:bCs/>
                <w:sz w:val="20"/>
                <w:szCs w:val="20"/>
              </w:rPr>
              <w:t>4.097.085</w:t>
            </w:r>
          </w:p>
        </w:tc>
        <w:tc>
          <w:tcPr>
            <w:tcW w:w="1072" w:type="dxa"/>
            <w:tcBorders>
              <w:top w:val="nil"/>
              <w:left w:val="nil"/>
              <w:bottom w:val="single" w:sz="8" w:space="0" w:color="000000"/>
              <w:right w:val="single" w:sz="8" w:space="0" w:color="000000"/>
            </w:tcBorders>
            <w:shd w:val="clear" w:color="000000" w:fill="FFFFFF"/>
            <w:vAlign w:val="center"/>
            <w:hideMark/>
          </w:tcPr>
          <w:p w14:paraId="36A83530" w14:textId="77777777" w:rsidR="00C46B71" w:rsidRPr="00C46B71" w:rsidRDefault="00C46B71" w:rsidP="00C46B71">
            <w:pPr>
              <w:jc w:val="center"/>
              <w:rPr>
                <w:b/>
                <w:sz w:val="20"/>
                <w:szCs w:val="20"/>
              </w:rPr>
            </w:pPr>
            <w:r w:rsidRPr="00C46B71">
              <w:rPr>
                <w:b/>
                <w:sz w:val="20"/>
                <w:szCs w:val="20"/>
              </w:rPr>
              <w:t>88,1</w:t>
            </w:r>
          </w:p>
        </w:tc>
        <w:tc>
          <w:tcPr>
            <w:tcW w:w="1523" w:type="dxa"/>
            <w:tcBorders>
              <w:top w:val="nil"/>
              <w:left w:val="nil"/>
              <w:bottom w:val="single" w:sz="8" w:space="0" w:color="000000"/>
              <w:right w:val="single" w:sz="8" w:space="0" w:color="000000"/>
            </w:tcBorders>
            <w:shd w:val="clear" w:color="000000" w:fill="FFFFFF"/>
            <w:vAlign w:val="center"/>
            <w:hideMark/>
          </w:tcPr>
          <w:p w14:paraId="6E0D44A2" w14:textId="77777777" w:rsidR="00C46B71" w:rsidRPr="006E0AFE" w:rsidRDefault="00C46B71" w:rsidP="00C46B71">
            <w:pPr>
              <w:jc w:val="right"/>
              <w:rPr>
                <w:b/>
                <w:bCs/>
                <w:sz w:val="20"/>
                <w:szCs w:val="20"/>
              </w:rPr>
            </w:pPr>
            <w:r w:rsidRPr="006E0AFE">
              <w:rPr>
                <w:b/>
                <w:bCs/>
                <w:sz w:val="20"/>
                <w:szCs w:val="20"/>
              </w:rPr>
              <w:t>4.039.000</w:t>
            </w:r>
          </w:p>
        </w:tc>
        <w:tc>
          <w:tcPr>
            <w:tcW w:w="1523" w:type="dxa"/>
            <w:tcBorders>
              <w:top w:val="nil"/>
              <w:left w:val="nil"/>
              <w:bottom w:val="single" w:sz="8" w:space="0" w:color="000000"/>
              <w:right w:val="single" w:sz="8" w:space="0" w:color="000000"/>
            </w:tcBorders>
            <w:shd w:val="clear" w:color="000000" w:fill="FFFFFF"/>
            <w:vAlign w:val="center"/>
            <w:hideMark/>
          </w:tcPr>
          <w:p w14:paraId="0E0EDEA9" w14:textId="77777777" w:rsidR="00C46B71" w:rsidRPr="006E0AFE" w:rsidRDefault="00C46B71" w:rsidP="00C46B71">
            <w:pPr>
              <w:jc w:val="right"/>
              <w:rPr>
                <w:b/>
                <w:bCs/>
                <w:sz w:val="20"/>
                <w:szCs w:val="20"/>
              </w:rPr>
            </w:pPr>
            <w:r w:rsidRPr="006E0AFE">
              <w:rPr>
                <w:b/>
                <w:bCs/>
                <w:sz w:val="20"/>
                <w:szCs w:val="20"/>
              </w:rPr>
              <w:t>4.049.000</w:t>
            </w:r>
          </w:p>
        </w:tc>
      </w:tr>
      <w:tr w:rsidR="00C46B71" w:rsidRPr="006E0AFE" w14:paraId="1313E3EA" w14:textId="77777777" w:rsidTr="00C46B71">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42243C4E" w14:textId="77777777" w:rsidR="00C46B71" w:rsidRPr="006E0AFE" w:rsidRDefault="00C46B71" w:rsidP="00C46B71">
            <w:pPr>
              <w:jc w:val="right"/>
              <w:rPr>
                <w:sz w:val="20"/>
                <w:szCs w:val="20"/>
              </w:rPr>
            </w:pPr>
            <w:r w:rsidRPr="006E0AFE">
              <w:rPr>
                <w:sz w:val="20"/>
                <w:szCs w:val="20"/>
              </w:rPr>
              <w:t>Pomoći unutar općeg proračuna</w:t>
            </w:r>
          </w:p>
        </w:tc>
        <w:tc>
          <w:tcPr>
            <w:tcW w:w="1517" w:type="dxa"/>
            <w:tcBorders>
              <w:top w:val="nil"/>
              <w:left w:val="nil"/>
              <w:bottom w:val="single" w:sz="8" w:space="0" w:color="000000"/>
              <w:right w:val="single" w:sz="8" w:space="0" w:color="000000"/>
            </w:tcBorders>
            <w:shd w:val="clear" w:color="000000" w:fill="FFFFFF"/>
            <w:vAlign w:val="center"/>
            <w:hideMark/>
          </w:tcPr>
          <w:p w14:paraId="032A562E" w14:textId="77777777" w:rsidR="00C46B71" w:rsidRPr="006E0AFE" w:rsidRDefault="00C46B71" w:rsidP="00C46B71">
            <w:pPr>
              <w:jc w:val="right"/>
              <w:rPr>
                <w:sz w:val="20"/>
                <w:szCs w:val="20"/>
              </w:rPr>
            </w:pPr>
            <w:r w:rsidRPr="006E0AFE">
              <w:rPr>
                <w:sz w:val="20"/>
                <w:szCs w:val="20"/>
              </w:rPr>
              <w:t>2.166.600</w:t>
            </w:r>
          </w:p>
        </w:tc>
        <w:tc>
          <w:tcPr>
            <w:tcW w:w="1516" w:type="dxa"/>
            <w:tcBorders>
              <w:top w:val="nil"/>
              <w:left w:val="nil"/>
              <w:bottom w:val="single" w:sz="8" w:space="0" w:color="000000"/>
              <w:right w:val="nil"/>
            </w:tcBorders>
            <w:shd w:val="clear" w:color="000000" w:fill="FFFFFF"/>
            <w:vAlign w:val="center"/>
            <w:hideMark/>
          </w:tcPr>
          <w:p w14:paraId="0A38CE06" w14:textId="77777777" w:rsidR="00C46B71" w:rsidRPr="006E0AFE" w:rsidRDefault="00C46B71" w:rsidP="00C46B71">
            <w:pPr>
              <w:jc w:val="right"/>
              <w:rPr>
                <w:sz w:val="20"/>
                <w:szCs w:val="20"/>
              </w:rPr>
            </w:pPr>
            <w:r w:rsidRPr="006E0AFE">
              <w:rPr>
                <w:sz w:val="20"/>
                <w:szCs w:val="20"/>
              </w:rPr>
              <w:t>1.215.000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40446F35" w14:textId="77777777" w:rsidR="00C46B71" w:rsidRPr="00C46B71" w:rsidRDefault="00C46B71" w:rsidP="00C46B71">
            <w:pPr>
              <w:jc w:val="center"/>
              <w:rPr>
                <w:sz w:val="20"/>
                <w:szCs w:val="20"/>
              </w:rPr>
            </w:pPr>
            <w:r w:rsidRPr="00C46B71">
              <w:rPr>
                <w:sz w:val="20"/>
                <w:szCs w:val="20"/>
              </w:rPr>
              <w:t>56,1</w:t>
            </w:r>
          </w:p>
        </w:tc>
        <w:tc>
          <w:tcPr>
            <w:tcW w:w="1523" w:type="dxa"/>
            <w:tcBorders>
              <w:top w:val="nil"/>
              <w:left w:val="nil"/>
              <w:bottom w:val="single" w:sz="8" w:space="0" w:color="000000"/>
              <w:right w:val="single" w:sz="8" w:space="0" w:color="000000"/>
            </w:tcBorders>
            <w:shd w:val="clear" w:color="000000" w:fill="D9D9D9"/>
            <w:vAlign w:val="center"/>
            <w:hideMark/>
          </w:tcPr>
          <w:p w14:paraId="1C6B297A"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5622E0B8"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50D6364B" w14:textId="77777777" w:rsidTr="00C46B71">
        <w:trPr>
          <w:trHeight w:val="525"/>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7D1B3F27" w14:textId="77777777" w:rsidR="00C46B71" w:rsidRPr="006E0AFE" w:rsidRDefault="00C46B71" w:rsidP="00C46B71">
            <w:pPr>
              <w:jc w:val="right"/>
              <w:rPr>
                <w:sz w:val="20"/>
                <w:szCs w:val="20"/>
              </w:rPr>
            </w:pPr>
            <w:r w:rsidRPr="006E0AFE">
              <w:rPr>
                <w:sz w:val="20"/>
                <w:szCs w:val="20"/>
              </w:rPr>
              <w:t>Pomoći proračunskim korisnicima drugih proračuna</w:t>
            </w:r>
          </w:p>
        </w:tc>
        <w:tc>
          <w:tcPr>
            <w:tcW w:w="1517" w:type="dxa"/>
            <w:tcBorders>
              <w:top w:val="nil"/>
              <w:left w:val="nil"/>
              <w:bottom w:val="single" w:sz="8" w:space="0" w:color="000000"/>
              <w:right w:val="single" w:sz="8" w:space="0" w:color="000000"/>
            </w:tcBorders>
            <w:shd w:val="clear" w:color="000000" w:fill="FFFFFF"/>
            <w:vAlign w:val="center"/>
            <w:hideMark/>
          </w:tcPr>
          <w:p w14:paraId="1952AF62" w14:textId="77777777" w:rsidR="00C46B71" w:rsidRPr="006E0AFE" w:rsidRDefault="00C46B71" w:rsidP="00C46B71">
            <w:pPr>
              <w:jc w:val="right"/>
              <w:rPr>
                <w:sz w:val="20"/>
                <w:szCs w:val="20"/>
              </w:rPr>
            </w:pPr>
            <w:r w:rsidRPr="006E0AFE">
              <w:rPr>
                <w:sz w:val="20"/>
                <w:szCs w:val="20"/>
              </w:rPr>
              <w:t>2.483.486</w:t>
            </w:r>
          </w:p>
        </w:tc>
        <w:tc>
          <w:tcPr>
            <w:tcW w:w="1516" w:type="dxa"/>
            <w:tcBorders>
              <w:top w:val="nil"/>
              <w:left w:val="nil"/>
              <w:bottom w:val="single" w:sz="8" w:space="0" w:color="000000"/>
              <w:right w:val="nil"/>
            </w:tcBorders>
            <w:shd w:val="clear" w:color="000000" w:fill="FFFFFF"/>
            <w:vAlign w:val="center"/>
            <w:hideMark/>
          </w:tcPr>
          <w:p w14:paraId="141F11F4" w14:textId="77777777" w:rsidR="00C46B71" w:rsidRPr="006E0AFE" w:rsidRDefault="00C46B71" w:rsidP="00C46B71">
            <w:pPr>
              <w:jc w:val="right"/>
              <w:rPr>
                <w:sz w:val="20"/>
                <w:szCs w:val="20"/>
              </w:rPr>
            </w:pPr>
            <w:r w:rsidRPr="006E0AFE">
              <w:rPr>
                <w:sz w:val="20"/>
                <w:szCs w:val="20"/>
              </w:rPr>
              <w:t>2.882.085</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07007ED5" w14:textId="77777777" w:rsidR="00C46B71" w:rsidRPr="00C46B71" w:rsidRDefault="00C46B71" w:rsidP="00C46B71">
            <w:pPr>
              <w:jc w:val="center"/>
              <w:rPr>
                <w:sz w:val="20"/>
                <w:szCs w:val="20"/>
              </w:rPr>
            </w:pPr>
            <w:r w:rsidRPr="00C46B71">
              <w:rPr>
                <w:sz w:val="20"/>
                <w:szCs w:val="20"/>
              </w:rPr>
              <w:t>116,0</w:t>
            </w:r>
          </w:p>
        </w:tc>
        <w:tc>
          <w:tcPr>
            <w:tcW w:w="1523" w:type="dxa"/>
            <w:tcBorders>
              <w:top w:val="nil"/>
              <w:left w:val="nil"/>
              <w:bottom w:val="single" w:sz="8" w:space="0" w:color="000000"/>
              <w:right w:val="single" w:sz="8" w:space="0" w:color="000000"/>
            </w:tcBorders>
            <w:shd w:val="clear" w:color="000000" w:fill="D9D9D9"/>
            <w:vAlign w:val="center"/>
            <w:hideMark/>
          </w:tcPr>
          <w:p w14:paraId="390E65E8"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7868356B"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4716DA9F" w14:textId="77777777" w:rsidTr="00C46B71">
        <w:trPr>
          <w:trHeight w:val="522"/>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44EDAECB" w14:textId="77777777" w:rsidR="00C46B71" w:rsidRPr="006E0AFE" w:rsidRDefault="00C46B71" w:rsidP="00C46B71">
            <w:pPr>
              <w:jc w:val="center"/>
              <w:rPr>
                <w:b/>
                <w:bCs/>
                <w:color w:val="000000"/>
                <w:sz w:val="20"/>
                <w:szCs w:val="20"/>
              </w:rPr>
            </w:pPr>
            <w:r w:rsidRPr="006E0AFE">
              <w:rPr>
                <w:b/>
                <w:bCs/>
                <w:color w:val="000000"/>
                <w:sz w:val="20"/>
                <w:szCs w:val="20"/>
              </w:rPr>
              <w:t>1.F  NAKNADE GRAĐANIMA I KUĆANSTVIMA (37)</w:t>
            </w:r>
          </w:p>
        </w:tc>
        <w:tc>
          <w:tcPr>
            <w:tcW w:w="1517" w:type="dxa"/>
            <w:tcBorders>
              <w:top w:val="nil"/>
              <w:left w:val="nil"/>
              <w:bottom w:val="single" w:sz="8" w:space="0" w:color="000000"/>
              <w:right w:val="single" w:sz="8" w:space="0" w:color="000000"/>
            </w:tcBorders>
            <w:shd w:val="clear" w:color="000000" w:fill="FFFFFF"/>
            <w:vAlign w:val="center"/>
            <w:hideMark/>
          </w:tcPr>
          <w:p w14:paraId="6D576986" w14:textId="77777777" w:rsidR="00C46B71" w:rsidRPr="006E0AFE" w:rsidRDefault="00C46B71" w:rsidP="00C46B71">
            <w:pPr>
              <w:jc w:val="right"/>
              <w:rPr>
                <w:b/>
                <w:bCs/>
                <w:sz w:val="20"/>
                <w:szCs w:val="20"/>
              </w:rPr>
            </w:pPr>
            <w:r w:rsidRPr="006E0AFE">
              <w:rPr>
                <w:b/>
                <w:bCs/>
                <w:sz w:val="20"/>
                <w:szCs w:val="20"/>
              </w:rPr>
              <w:t>2.338.300</w:t>
            </w:r>
          </w:p>
        </w:tc>
        <w:tc>
          <w:tcPr>
            <w:tcW w:w="1516" w:type="dxa"/>
            <w:tcBorders>
              <w:top w:val="nil"/>
              <w:left w:val="nil"/>
              <w:bottom w:val="single" w:sz="8" w:space="0" w:color="000000"/>
              <w:right w:val="nil"/>
            </w:tcBorders>
            <w:shd w:val="clear" w:color="000000" w:fill="FFFFFF"/>
            <w:vAlign w:val="center"/>
            <w:hideMark/>
          </w:tcPr>
          <w:p w14:paraId="4D783A55" w14:textId="77777777" w:rsidR="00C46B71" w:rsidRPr="006E0AFE" w:rsidRDefault="00C46B71" w:rsidP="00C46B71">
            <w:pPr>
              <w:jc w:val="right"/>
              <w:rPr>
                <w:b/>
                <w:bCs/>
                <w:sz w:val="20"/>
                <w:szCs w:val="20"/>
              </w:rPr>
            </w:pPr>
            <w:r w:rsidRPr="006E0AFE">
              <w:rPr>
                <w:b/>
                <w:bCs/>
                <w:sz w:val="20"/>
                <w:szCs w:val="20"/>
              </w:rPr>
              <w:t>2.399.200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1862A413" w14:textId="77777777" w:rsidR="00C46B71" w:rsidRPr="00C46B71" w:rsidRDefault="00C46B71" w:rsidP="00C46B71">
            <w:pPr>
              <w:jc w:val="center"/>
              <w:rPr>
                <w:b/>
                <w:sz w:val="20"/>
                <w:szCs w:val="20"/>
              </w:rPr>
            </w:pPr>
            <w:r w:rsidRPr="00C46B71">
              <w:rPr>
                <w:b/>
                <w:sz w:val="20"/>
                <w:szCs w:val="20"/>
              </w:rPr>
              <w:t>102,6</w:t>
            </w:r>
          </w:p>
        </w:tc>
        <w:tc>
          <w:tcPr>
            <w:tcW w:w="1523" w:type="dxa"/>
            <w:tcBorders>
              <w:top w:val="nil"/>
              <w:left w:val="nil"/>
              <w:bottom w:val="single" w:sz="8" w:space="0" w:color="000000"/>
              <w:right w:val="single" w:sz="8" w:space="0" w:color="000000"/>
            </w:tcBorders>
            <w:shd w:val="clear" w:color="000000" w:fill="FFFFFF"/>
            <w:vAlign w:val="center"/>
            <w:hideMark/>
          </w:tcPr>
          <w:p w14:paraId="1B3D3489" w14:textId="77777777" w:rsidR="00C46B71" w:rsidRPr="006E0AFE" w:rsidRDefault="00C46B71" w:rsidP="00C46B71">
            <w:pPr>
              <w:jc w:val="right"/>
              <w:rPr>
                <w:b/>
                <w:bCs/>
                <w:sz w:val="20"/>
                <w:szCs w:val="20"/>
              </w:rPr>
            </w:pPr>
            <w:r w:rsidRPr="006E0AFE">
              <w:rPr>
                <w:b/>
                <w:bCs/>
                <w:sz w:val="20"/>
                <w:szCs w:val="20"/>
              </w:rPr>
              <w:t>2.415.200</w:t>
            </w:r>
          </w:p>
        </w:tc>
        <w:tc>
          <w:tcPr>
            <w:tcW w:w="1523" w:type="dxa"/>
            <w:tcBorders>
              <w:top w:val="nil"/>
              <w:left w:val="nil"/>
              <w:bottom w:val="single" w:sz="8" w:space="0" w:color="000000"/>
              <w:right w:val="single" w:sz="8" w:space="0" w:color="000000"/>
            </w:tcBorders>
            <w:shd w:val="clear" w:color="000000" w:fill="FFFFFF"/>
            <w:vAlign w:val="center"/>
            <w:hideMark/>
          </w:tcPr>
          <w:p w14:paraId="16153820" w14:textId="77777777" w:rsidR="00C46B71" w:rsidRPr="006E0AFE" w:rsidRDefault="00C46B71" w:rsidP="00C46B71">
            <w:pPr>
              <w:jc w:val="right"/>
              <w:rPr>
                <w:b/>
                <w:bCs/>
                <w:sz w:val="20"/>
                <w:szCs w:val="20"/>
              </w:rPr>
            </w:pPr>
            <w:r w:rsidRPr="006E0AFE">
              <w:rPr>
                <w:b/>
                <w:bCs/>
                <w:sz w:val="20"/>
                <w:szCs w:val="20"/>
              </w:rPr>
              <w:t>2.415.200</w:t>
            </w:r>
          </w:p>
        </w:tc>
      </w:tr>
      <w:tr w:rsidR="00C46B71" w:rsidRPr="006E0AFE" w14:paraId="3A1477CC" w14:textId="77777777" w:rsidTr="00C46B71">
        <w:trPr>
          <w:trHeight w:val="522"/>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52CDEC0A" w14:textId="77777777" w:rsidR="00C46B71" w:rsidRPr="006E0AFE" w:rsidRDefault="00C46B71" w:rsidP="00C46B71">
            <w:pPr>
              <w:jc w:val="center"/>
              <w:rPr>
                <w:b/>
                <w:bCs/>
                <w:color w:val="000000"/>
                <w:sz w:val="20"/>
                <w:szCs w:val="20"/>
              </w:rPr>
            </w:pPr>
            <w:r w:rsidRPr="006E0AFE">
              <w:rPr>
                <w:b/>
                <w:bCs/>
                <w:color w:val="000000"/>
                <w:sz w:val="20"/>
                <w:szCs w:val="20"/>
              </w:rPr>
              <w:t>1.G. OSTALI RASHODI (38)</w:t>
            </w:r>
          </w:p>
        </w:tc>
        <w:tc>
          <w:tcPr>
            <w:tcW w:w="1517" w:type="dxa"/>
            <w:tcBorders>
              <w:top w:val="nil"/>
              <w:left w:val="nil"/>
              <w:bottom w:val="single" w:sz="8" w:space="0" w:color="000000"/>
              <w:right w:val="single" w:sz="8" w:space="0" w:color="000000"/>
            </w:tcBorders>
            <w:shd w:val="clear" w:color="000000" w:fill="FFFFFF"/>
            <w:vAlign w:val="center"/>
            <w:hideMark/>
          </w:tcPr>
          <w:p w14:paraId="40E51326" w14:textId="77777777" w:rsidR="00C46B71" w:rsidRPr="006E0AFE" w:rsidRDefault="00C46B71" w:rsidP="00C46B71">
            <w:pPr>
              <w:jc w:val="right"/>
              <w:rPr>
                <w:b/>
                <w:bCs/>
                <w:color w:val="000000"/>
                <w:sz w:val="20"/>
                <w:szCs w:val="20"/>
              </w:rPr>
            </w:pPr>
            <w:r w:rsidRPr="006E0AFE">
              <w:rPr>
                <w:b/>
                <w:bCs/>
                <w:color w:val="000000"/>
                <w:sz w:val="20"/>
                <w:szCs w:val="20"/>
              </w:rPr>
              <w:t>6.606.900</w:t>
            </w:r>
          </w:p>
        </w:tc>
        <w:tc>
          <w:tcPr>
            <w:tcW w:w="1516" w:type="dxa"/>
            <w:tcBorders>
              <w:top w:val="nil"/>
              <w:left w:val="nil"/>
              <w:bottom w:val="single" w:sz="8" w:space="0" w:color="000000"/>
              <w:right w:val="single" w:sz="8" w:space="0" w:color="000000"/>
            </w:tcBorders>
            <w:shd w:val="clear" w:color="000000" w:fill="FFFFFF"/>
            <w:vAlign w:val="center"/>
            <w:hideMark/>
          </w:tcPr>
          <w:p w14:paraId="2F1C78A4" w14:textId="77777777" w:rsidR="00C46B71" w:rsidRPr="006E0AFE" w:rsidRDefault="00C46B71" w:rsidP="00C46B71">
            <w:pPr>
              <w:jc w:val="right"/>
              <w:rPr>
                <w:b/>
                <w:bCs/>
                <w:color w:val="000000"/>
                <w:sz w:val="20"/>
                <w:szCs w:val="20"/>
              </w:rPr>
            </w:pPr>
            <w:r w:rsidRPr="006E0AFE">
              <w:rPr>
                <w:b/>
                <w:bCs/>
                <w:color w:val="000000"/>
                <w:sz w:val="20"/>
                <w:szCs w:val="20"/>
              </w:rPr>
              <w:t>5.956.275</w:t>
            </w:r>
          </w:p>
        </w:tc>
        <w:tc>
          <w:tcPr>
            <w:tcW w:w="1072" w:type="dxa"/>
            <w:tcBorders>
              <w:top w:val="nil"/>
              <w:left w:val="nil"/>
              <w:bottom w:val="single" w:sz="8" w:space="0" w:color="000000"/>
              <w:right w:val="single" w:sz="8" w:space="0" w:color="000000"/>
            </w:tcBorders>
            <w:shd w:val="clear" w:color="000000" w:fill="FFFFFF"/>
            <w:vAlign w:val="center"/>
            <w:hideMark/>
          </w:tcPr>
          <w:p w14:paraId="724CEB44" w14:textId="77777777" w:rsidR="00C46B71" w:rsidRPr="00C46B71" w:rsidRDefault="00C46B71" w:rsidP="00C46B71">
            <w:pPr>
              <w:jc w:val="center"/>
              <w:rPr>
                <w:b/>
                <w:sz w:val="20"/>
                <w:szCs w:val="20"/>
              </w:rPr>
            </w:pPr>
            <w:r w:rsidRPr="00C46B71">
              <w:rPr>
                <w:b/>
                <w:sz w:val="20"/>
                <w:szCs w:val="20"/>
              </w:rPr>
              <w:t>90,2</w:t>
            </w:r>
          </w:p>
        </w:tc>
        <w:tc>
          <w:tcPr>
            <w:tcW w:w="1523" w:type="dxa"/>
            <w:tcBorders>
              <w:top w:val="nil"/>
              <w:left w:val="nil"/>
              <w:bottom w:val="single" w:sz="8" w:space="0" w:color="000000"/>
              <w:right w:val="single" w:sz="8" w:space="0" w:color="000000"/>
            </w:tcBorders>
            <w:shd w:val="clear" w:color="000000" w:fill="FFFFFF"/>
            <w:vAlign w:val="center"/>
            <w:hideMark/>
          </w:tcPr>
          <w:p w14:paraId="0BEA78AE" w14:textId="77777777" w:rsidR="00C46B71" w:rsidRPr="006E0AFE" w:rsidRDefault="00C46B71" w:rsidP="00C46B71">
            <w:pPr>
              <w:jc w:val="right"/>
              <w:rPr>
                <w:b/>
                <w:bCs/>
                <w:sz w:val="20"/>
                <w:szCs w:val="20"/>
              </w:rPr>
            </w:pPr>
            <w:r w:rsidRPr="006E0AFE">
              <w:rPr>
                <w:b/>
                <w:bCs/>
                <w:sz w:val="20"/>
                <w:szCs w:val="20"/>
              </w:rPr>
              <w:t>3.929.575</w:t>
            </w:r>
          </w:p>
        </w:tc>
        <w:tc>
          <w:tcPr>
            <w:tcW w:w="1523" w:type="dxa"/>
            <w:tcBorders>
              <w:top w:val="nil"/>
              <w:left w:val="nil"/>
              <w:bottom w:val="single" w:sz="8" w:space="0" w:color="000000"/>
              <w:right w:val="single" w:sz="8" w:space="0" w:color="000000"/>
            </w:tcBorders>
            <w:shd w:val="clear" w:color="000000" w:fill="FFFFFF"/>
            <w:vAlign w:val="center"/>
            <w:hideMark/>
          </w:tcPr>
          <w:p w14:paraId="3D24711F" w14:textId="77777777" w:rsidR="00C46B71" w:rsidRPr="006E0AFE" w:rsidRDefault="00C46B71" w:rsidP="00C46B71">
            <w:pPr>
              <w:jc w:val="right"/>
              <w:rPr>
                <w:b/>
                <w:bCs/>
                <w:sz w:val="20"/>
                <w:szCs w:val="20"/>
              </w:rPr>
            </w:pPr>
            <w:r w:rsidRPr="006E0AFE">
              <w:rPr>
                <w:b/>
                <w:bCs/>
                <w:sz w:val="20"/>
                <w:szCs w:val="20"/>
              </w:rPr>
              <w:t>3.915.750</w:t>
            </w:r>
          </w:p>
        </w:tc>
      </w:tr>
      <w:tr w:rsidR="00C46B71" w:rsidRPr="006E0AFE" w14:paraId="3643A361" w14:textId="77777777" w:rsidTr="00C46B71">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3E44962A" w14:textId="77777777" w:rsidR="00C46B71" w:rsidRPr="006E0AFE" w:rsidRDefault="00C46B71" w:rsidP="00C46B71">
            <w:pPr>
              <w:jc w:val="right"/>
              <w:rPr>
                <w:color w:val="000000"/>
                <w:sz w:val="20"/>
                <w:szCs w:val="20"/>
              </w:rPr>
            </w:pPr>
            <w:r w:rsidRPr="006E0AFE">
              <w:rPr>
                <w:color w:val="000000"/>
                <w:sz w:val="20"/>
                <w:szCs w:val="20"/>
              </w:rPr>
              <w:t>Tekuće donacije</w:t>
            </w:r>
          </w:p>
        </w:tc>
        <w:tc>
          <w:tcPr>
            <w:tcW w:w="1517" w:type="dxa"/>
            <w:tcBorders>
              <w:top w:val="nil"/>
              <w:left w:val="nil"/>
              <w:bottom w:val="single" w:sz="8" w:space="0" w:color="000000"/>
              <w:right w:val="single" w:sz="8" w:space="0" w:color="000000"/>
            </w:tcBorders>
            <w:shd w:val="clear" w:color="000000" w:fill="FFFFFF"/>
            <w:vAlign w:val="center"/>
            <w:hideMark/>
          </w:tcPr>
          <w:p w14:paraId="6841A6EB" w14:textId="77777777" w:rsidR="00C46B71" w:rsidRPr="006E0AFE" w:rsidRDefault="00C46B71" w:rsidP="00C46B71">
            <w:pPr>
              <w:jc w:val="right"/>
              <w:rPr>
                <w:sz w:val="20"/>
                <w:szCs w:val="20"/>
              </w:rPr>
            </w:pPr>
            <w:r w:rsidRPr="006E0AFE">
              <w:rPr>
                <w:sz w:val="20"/>
                <w:szCs w:val="20"/>
              </w:rPr>
              <w:t>2.718.160</w:t>
            </w:r>
          </w:p>
        </w:tc>
        <w:tc>
          <w:tcPr>
            <w:tcW w:w="1516" w:type="dxa"/>
            <w:tcBorders>
              <w:top w:val="nil"/>
              <w:left w:val="nil"/>
              <w:bottom w:val="single" w:sz="8" w:space="0" w:color="000000"/>
              <w:right w:val="nil"/>
            </w:tcBorders>
            <w:shd w:val="clear" w:color="000000" w:fill="FFFFFF"/>
            <w:vAlign w:val="center"/>
            <w:hideMark/>
          </w:tcPr>
          <w:p w14:paraId="39AD6129" w14:textId="77777777" w:rsidR="00C46B71" w:rsidRPr="006E0AFE" w:rsidRDefault="00C46B71" w:rsidP="00C46B71">
            <w:pPr>
              <w:jc w:val="right"/>
              <w:rPr>
                <w:sz w:val="20"/>
                <w:szCs w:val="20"/>
              </w:rPr>
            </w:pPr>
            <w:r w:rsidRPr="006E0AFE">
              <w:rPr>
                <w:sz w:val="20"/>
                <w:szCs w:val="20"/>
              </w:rPr>
              <w:t>3.361.275</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4B7528ED" w14:textId="77777777" w:rsidR="00C46B71" w:rsidRPr="00C46B71" w:rsidRDefault="00C46B71" w:rsidP="00C46B71">
            <w:pPr>
              <w:jc w:val="center"/>
              <w:rPr>
                <w:sz w:val="20"/>
                <w:szCs w:val="20"/>
              </w:rPr>
            </w:pPr>
            <w:r w:rsidRPr="00C46B71">
              <w:rPr>
                <w:sz w:val="20"/>
                <w:szCs w:val="20"/>
              </w:rPr>
              <w:t>123,7</w:t>
            </w:r>
          </w:p>
        </w:tc>
        <w:tc>
          <w:tcPr>
            <w:tcW w:w="1523" w:type="dxa"/>
            <w:tcBorders>
              <w:top w:val="nil"/>
              <w:left w:val="nil"/>
              <w:bottom w:val="single" w:sz="8" w:space="0" w:color="000000"/>
              <w:right w:val="single" w:sz="8" w:space="0" w:color="000000"/>
            </w:tcBorders>
            <w:shd w:val="clear" w:color="000000" w:fill="D9D9D9"/>
            <w:vAlign w:val="center"/>
            <w:hideMark/>
          </w:tcPr>
          <w:p w14:paraId="68AFED6D"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40346CED"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71FA644B" w14:textId="77777777" w:rsidTr="00C46B71">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5BDF8D90" w14:textId="77777777" w:rsidR="00C46B71" w:rsidRPr="006E0AFE" w:rsidRDefault="00C46B71" w:rsidP="00C46B71">
            <w:pPr>
              <w:jc w:val="right"/>
              <w:rPr>
                <w:color w:val="000000"/>
                <w:sz w:val="20"/>
                <w:szCs w:val="20"/>
              </w:rPr>
            </w:pPr>
            <w:r w:rsidRPr="006E0AFE">
              <w:rPr>
                <w:color w:val="000000"/>
                <w:sz w:val="20"/>
                <w:szCs w:val="20"/>
              </w:rPr>
              <w:t>Kapitalne donacije</w:t>
            </w:r>
          </w:p>
        </w:tc>
        <w:tc>
          <w:tcPr>
            <w:tcW w:w="1517" w:type="dxa"/>
            <w:tcBorders>
              <w:top w:val="nil"/>
              <w:left w:val="nil"/>
              <w:bottom w:val="single" w:sz="8" w:space="0" w:color="000000"/>
              <w:right w:val="single" w:sz="8" w:space="0" w:color="000000"/>
            </w:tcBorders>
            <w:shd w:val="clear" w:color="000000" w:fill="FFFFFF"/>
            <w:vAlign w:val="center"/>
            <w:hideMark/>
          </w:tcPr>
          <w:p w14:paraId="2A46B889" w14:textId="77777777" w:rsidR="00C46B71" w:rsidRPr="006E0AFE" w:rsidRDefault="00C46B71" w:rsidP="00C46B71">
            <w:pPr>
              <w:jc w:val="right"/>
              <w:rPr>
                <w:sz w:val="20"/>
                <w:szCs w:val="20"/>
              </w:rPr>
            </w:pPr>
            <w:r w:rsidRPr="006E0AFE">
              <w:rPr>
                <w:sz w:val="20"/>
                <w:szCs w:val="20"/>
              </w:rPr>
              <w:t>479.140</w:t>
            </w:r>
          </w:p>
        </w:tc>
        <w:tc>
          <w:tcPr>
            <w:tcW w:w="1516" w:type="dxa"/>
            <w:tcBorders>
              <w:top w:val="nil"/>
              <w:left w:val="nil"/>
              <w:bottom w:val="single" w:sz="8" w:space="0" w:color="000000"/>
              <w:right w:val="nil"/>
            </w:tcBorders>
            <w:shd w:val="clear" w:color="000000" w:fill="FFFFFF"/>
            <w:vAlign w:val="center"/>
            <w:hideMark/>
          </w:tcPr>
          <w:p w14:paraId="762236D5" w14:textId="77777777" w:rsidR="00C46B71" w:rsidRPr="006E0AFE" w:rsidRDefault="00C46B71" w:rsidP="00C46B71">
            <w:pPr>
              <w:jc w:val="right"/>
              <w:rPr>
                <w:sz w:val="20"/>
                <w:szCs w:val="20"/>
              </w:rPr>
            </w:pPr>
            <w:r w:rsidRPr="006E0AFE">
              <w:rPr>
                <w:sz w:val="20"/>
                <w:szCs w:val="20"/>
              </w:rPr>
              <w:t>175.000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199E8C22" w14:textId="77777777" w:rsidR="00C46B71" w:rsidRPr="00C46B71" w:rsidRDefault="00C46B71" w:rsidP="00C46B71">
            <w:pPr>
              <w:jc w:val="center"/>
              <w:rPr>
                <w:sz w:val="20"/>
                <w:szCs w:val="20"/>
              </w:rPr>
            </w:pPr>
            <w:r w:rsidRPr="00C46B71">
              <w:rPr>
                <w:sz w:val="20"/>
                <w:szCs w:val="20"/>
              </w:rPr>
              <w:t>36,5</w:t>
            </w:r>
          </w:p>
        </w:tc>
        <w:tc>
          <w:tcPr>
            <w:tcW w:w="1523" w:type="dxa"/>
            <w:tcBorders>
              <w:top w:val="nil"/>
              <w:left w:val="nil"/>
              <w:bottom w:val="single" w:sz="8" w:space="0" w:color="000000"/>
              <w:right w:val="single" w:sz="8" w:space="0" w:color="000000"/>
            </w:tcBorders>
            <w:shd w:val="clear" w:color="000000" w:fill="D9D9D9"/>
            <w:vAlign w:val="center"/>
            <w:hideMark/>
          </w:tcPr>
          <w:p w14:paraId="7272A67A"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33698404"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7ECCECD9" w14:textId="77777777" w:rsidTr="00C46B71">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2DE67F18" w14:textId="77777777" w:rsidR="00C46B71" w:rsidRPr="006E0AFE" w:rsidRDefault="00C46B71" w:rsidP="00C46B71">
            <w:pPr>
              <w:jc w:val="right"/>
              <w:rPr>
                <w:color w:val="000000"/>
                <w:sz w:val="20"/>
                <w:szCs w:val="20"/>
              </w:rPr>
            </w:pPr>
            <w:r w:rsidRPr="006E0AFE">
              <w:rPr>
                <w:color w:val="000000"/>
                <w:sz w:val="20"/>
                <w:szCs w:val="20"/>
              </w:rPr>
              <w:t>Kazne, penali i naknade šteta</w:t>
            </w:r>
          </w:p>
        </w:tc>
        <w:tc>
          <w:tcPr>
            <w:tcW w:w="1517" w:type="dxa"/>
            <w:tcBorders>
              <w:top w:val="nil"/>
              <w:left w:val="nil"/>
              <w:bottom w:val="single" w:sz="8" w:space="0" w:color="000000"/>
              <w:right w:val="single" w:sz="8" w:space="0" w:color="000000"/>
            </w:tcBorders>
            <w:shd w:val="clear" w:color="000000" w:fill="FFFFFF"/>
            <w:vAlign w:val="center"/>
            <w:hideMark/>
          </w:tcPr>
          <w:p w14:paraId="7EA67A48" w14:textId="77777777" w:rsidR="00C46B71" w:rsidRPr="006E0AFE" w:rsidRDefault="00C46B71" w:rsidP="00C46B71">
            <w:pPr>
              <w:jc w:val="right"/>
              <w:rPr>
                <w:sz w:val="20"/>
                <w:szCs w:val="20"/>
              </w:rPr>
            </w:pPr>
            <w:r w:rsidRPr="006E0AFE">
              <w:rPr>
                <w:sz w:val="20"/>
                <w:szCs w:val="20"/>
              </w:rPr>
              <w:t>249.600</w:t>
            </w:r>
          </w:p>
        </w:tc>
        <w:tc>
          <w:tcPr>
            <w:tcW w:w="1516" w:type="dxa"/>
            <w:tcBorders>
              <w:top w:val="nil"/>
              <w:left w:val="nil"/>
              <w:bottom w:val="single" w:sz="8" w:space="0" w:color="000000"/>
              <w:right w:val="nil"/>
            </w:tcBorders>
            <w:shd w:val="clear" w:color="000000" w:fill="FFFFFF"/>
            <w:vAlign w:val="center"/>
            <w:hideMark/>
          </w:tcPr>
          <w:p w14:paraId="53AE0FB2" w14:textId="77777777" w:rsidR="00C46B71" w:rsidRPr="006E0AFE" w:rsidRDefault="00C46B71" w:rsidP="00C46B71">
            <w:pPr>
              <w:jc w:val="right"/>
              <w:rPr>
                <w:sz w:val="20"/>
                <w:szCs w:val="20"/>
              </w:rPr>
            </w:pPr>
            <w:r w:rsidRPr="006E0AFE">
              <w:rPr>
                <w:sz w:val="20"/>
                <w:szCs w:val="20"/>
              </w:rPr>
              <w:t>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579CFD19" w14:textId="77777777" w:rsidR="00C46B71" w:rsidRPr="00C46B71" w:rsidRDefault="00C46B71" w:rsidP="00C46B71">
            <w:pPr>
              <w:jc w:val="center"/>
              <w:rPr>
                <w:sz w:val="20"/>
                <w:szCs w:val="20"/>
              </w:rPr>
            </w:pPr>
            <w:r w:rsidRPr="00C46B71">
              <w:rPr>
                <w:sz w:val="20"/>
                <w:szCs w:val="20"/>
              </w:rPr>
              <w:t>0,0</w:t>
            </w:r>
          </w:p>
        </w:tc>
        <w:tc>
          <w:tcPr>
            <w:tcW w:w="1523" w:type="dxa"/>
            <w:tcBorders>
              <w:top w:val="nil"/>
              <w:left w:val="nil"/>
              <w:bottom w:val="single" w:sz="8" w:space="0" w:color="000000"/>
              <w:right w:val="single" w:sz="8" w:space="0" w:color="000000"/>
            </w:tcBorders>
            <w:shd w:val="clear" w:color="000000" w:fill="D9D9D9"/>
            <w:vAlign w:val="center"/>
            <w:hideMark/>
          </w:tcPr>
          <w:p w14:paraId="3CA69554"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5DBB8AE9"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4A7A0706" w14:textId="77777777" w:rsidTr="00C46B71">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16A749BB" w14:textId="77777777" w:rsidR="00C46B71" w:rsidRPr="006E0AFE" w:rsidRDefault="00C46B71" w:rsidP="00C46B71">
            <w:pPr>
              <w:jc w:val="right"/>
              <w:rPr>
                <w:color w:val="000000"/>
                <w:sz w:val="20"/>
                <w:szCs w:val="20"/>
              </w:rPr>
            </w:pPr>
            <w:r w:rsidRPr="006E0AFE">
              <w:rPr>
                <w:color w:val="000000"/>
                <w:sz w:val="20"/>
                <w:szCs w:val="20"/>
              </w:rPr>
              <w:t>Izvanredni rashodi</w:t>
            </w:r>
          </w:p>
        </w:tc>
        <w:tc>
          <w:tcPr>
            <w:tcW w:w="1517" w:type="dxa"/>
            <w:tcBorders>
              <w:top w:val="nil"/>
              <w:left w:val="nil"/>
              <w:bottom w:val="single" w:sz="8" w:space="0" w:color="000000"/>
              <w:right w:val="single" w:sz="8" w:space="0" w:color="000000"/>
            </w:tcBorders>
            <w:shd w:val="clear" w:color="000000" w:fill="FFFFFF"/>
            <w:vAlign w:val="center"/>
            <w:hideMark/>
          </w:tcPr>
          <w:p w14:paraId="2AC43904" w14:textId="77777777" w:rsidR="00C46B71" w:rsidRPr="006E0AFE" w:rsidRDefault="00C46B71" w:rsidP="00C46B71">
            <w:pPr>
              <w:jc w:val="right"/>
              <w:rPr>
                <w:sz w:val="20"/>
                <w:szCs w:val="20"/>
              </w:rPr>
            </w:pPr>
            <w:r w:rsidRPr="006E0AFE">
              <w:rPr>
                <w:sz w:val="20"/>
                <w:szCs w:val="20"/>
              </w:rPr>
              <w:t>130.000</w:t>
            </w:r>
          </w:p>
        </w:tc>
        <w:tc>
          <w:tcPr>
            <w:tcW w:w="1516" w:type="dxa"/>
            <w:tcBorders>
              <w:top w:val="nil"/>
              <w:left w:val="nil"/>
              <w:bottom w:val="single" w:sz="8" w:space="0" w:color="000000"/>
              <w:right w:val="nil"/>
            </w:tcBorders>
            <w:shd w:val="clear" w:color="000000" w:fill="FFFFFF"/>
            <w:vAlign w:val="center"/>
            <w:hideMark/>
          </w:tcPr>
          <w:p w14:paraId="44CC1D21" w14:textId="77777777" w:rsidR="00C46B71" w:rsidRPr="006E0AFE" w:rsidRDefault="00C46B71" w:rsidP="00C46B71">
            <w:pPr>
              <w:jc w:val="right"/>
              <w:rPr>
                <w:sz w:val="20"/>
                <w:szCs w:val="20"/>
              </w:rPr>
            </w:pPr>
            <w:r w:rsidRPr="006E0AFE">
              <w:rPr>
                <w:sz w:val="20"/>
                <w:szCs w:val="20"/>
              </w:rPr>
              <w:t>130.000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65864A2F" w14:textId="77777777" w:rsidR="00C46B71" w:rsidRPr="00C46B71" w:rsidRDefault="00C46B71" w:rsidP="00C46B71">
            <w:pPr>
              <w:jc w:val="center"/>
              <w:rPr>
                <w:sz w:val="20"/>
                <w:szCs w:val="20"/>
              </w:rPr>
            </w:pPr>
            <w:r w:rsidRPr="00C46B71">
              <w:rPr>
                <w:sz w:val="20"/>
                <w:szCs w:val="20"/>
              </w:rPr>
              <w:t>100,0</w:t>
            </w:r>
          </w:p>
        </w:tc>
        <w:tc>
          <w:tcPr>
            <w:tcW w:w="1523" w:type="dxa"/>
            <w:tcBorders>
              <w:top w:val="nil"/>
              <w:left w:val="nil"/>
              <w:bottom w:val="single" w:sz="8" w:space="0" w:color="000000"/>
              <w:right w:val="single" w:sz="8" w:space="0" w:color="000000"/>
            </w:tcBorders>
            <w:shd w:val="clear" w:color="000000" w:fill="D9D9D9"/>
            <w:vAlign w:val="center"/>
            <w:hideMark/>
          </w:tcPr>
          <w:p w14:paraId="6BD8ED0D"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7C0AEED9" w14:textId="77777777" w:rsidR="00C46B71" w:rsidRPr="006E0AFE" w:rsidRDefault="00C46B71" w:rsidP="00C46B71">
            <w:pPr>
              <w:jc w:val="right"/>
              <w:rPr>
                <w:b/>
                <w:bCs/>
                <w:sz w:val="20"/>
                <w:szCs w:val="20"/>
              </w:rPr>
            </w:pPr>
            <w:r w:rsidRPr="006E0AFE">
              <w:rPr>
                <w:b/>
                <w:bCs/>
                <w:sz w:val="20"/>
                <w:szCs w:val="20"/>
              </w:rPr>
              <w:t> </w:t>
            </w:r>
          </w:p>
        </w:tc>
      </w:tr>
      <w:tr w:rsidR="00C46B71" w:rsidRPr="006E0AFE" w14:paraId="74CA5FFE" w14:textId="77777777" w:rsidTr="00C46B71">
        <w:trPr>
          <w:trHeight w:val="270"/>
        </w:trPr>
        <w:tc>
          <w:tcPr>
            <w:tcW w:w="2961" w:type="dxa"/>
            <w:tcBorders>
              <w:top w:val="nil"/>
              <w:left w:val="single" w:sz="8" w:space="0" w:color="000000"/>
              <w:bottom w:val="single" w:sz="8" w:space="0" w:color="000000"/>
              <w:right w:val="single" w:sz="8" w:space="0" w:color="000000"/>
            </w:tcBorders>
            <w:shd w:val="clear" w:color="000000" w:fill="FFFFFF"/>
            <w:vAlign w:val="center"/>
            <w:hideMark/>
          </w:tcPr>
          <w:p w14:paraId="466C4553" w14:textId="77777777" w:rsidR="00C46B71" w:rsidRPr="006E0AFE" w:rsidRDefault="00C46B71" w:rsidP="00C46B71">
            <w:pPr>
              <w:jc w:val="right"/>
              <w:rPr>
                <w:color w:val="000000"/>
                <w:sz w:val="20"/>
                <w:szCs w:val="20"/>
              </w:rPr>
            </w:pPr>
            <w:r w:rsidRPr="006E0AFE">
              <w:rPr>
                <w:color w:val="000000"/>
                <w:sz w:val="20"/>
                <w:szCs w:val="20"/>
              </w:rPr>
              <w:t>Kapitalne pomoći</w:t>
            </w:r>
          </w:p>
        </w:tc>
        <w:tc>
          <w:tcPr>
            <w:tcW w:w="1517" w:type="dxa"/>
            <w:tcBorders>
              <w:top w:val="nil"/>
              <w:left w:val="nil"/>
              <w:bottom w:val="single" w:sz="8" w:space="0" w:color="000000"/>
              <w:right w:val="single" w:sz="8" w:space="0" w:color="000000"/>
            </w:tcBorders>
            <w:shd w:val="clear" w:color="000000" w:fill="FFFFFF"/>
            <w:vAlign w:val="center"/>
            <w:hideMark/>
          </w:tcPr>
          <w:p w14:paraId="42AC5A51" w14:textId="77777777" w:rsidR="00C46B71" w:rsidRPr="006E0AFE" w:rsidRDefault="00C46B71" w:rsidP="00C46B71">
            <w:pPr>
              <w:jc w:val="right"/>
              <w:rPr>
                <w:sz w:val="20"/>
                <w:szCs w:val="20"/>
              </w:rPr>
            </w:pPr>
            <w:r w:rsidRPr="006E0AFE">
              <w:rPr>
                <w:sz w:val="20"/>
                <w:szCs w:val="20"/>
              </w:rPr>
              <w:t>3.030.000</w:t>
            </w:r>
          </w:p>
        </w:tc>
        <w:tc>
          <w:tcPr>
            <w:tcW w:w="1516" w:type="dxa"/>
            <w:tcBorders>
              <w:top w:val="nil"/>
              <w:left w:val="nil"/>
              <w:bottom w:val="single" w:sz="8" w:space="0" w:color="000000"/>
              <w:right w:val="nil"/>
            </w:tcBorders>
            <w:shd w:val="clear" w:color="000000" w:fill="FFFFFF"/>
            <w:vAlign w:val="center"/>
            <w:hideMark/>
          </w:tcPr>
          <w:p w14:paraId="6911B51B" w14:textId="77777777" w:rsidR="00C46B71" w:rsidRPr="006E0AFE" w:rsidRDefault="00C46B71" w:rsidP="00C46B71">
            <w:pPr>
              <w:jc w:val="right"/>
              <w:rPr>
                <w:sz w:val="20"/>
                <w:szCs w:val="20"/>
              </w:rPr>
            </w:pPr>
            <w:r w:rsidRPr="006E0AFE">
              <w:rPr>
                <w:sz w:val="20"/>
                <w:szCs w:val="20"/>
              </w:rPr>
              <w:t>2.290.000</w:t>
            </w:r>
          </w:p>
        </w:tc>
        <w:tc>
          <w:tcPr>
            <w:tcW w:w="1072" w:type="dxa"/>
            <w:tcBorders>
              <w:top w:val="nil"/>
              <w:left w:val="single" w:sz="8" w:space="0" w:color="000000"/>
              <w:bottom w:val="single" w:sz="8" w:space="0" w:color="000000"/>
              <w:right w:val="single" w:sz="8" w:space="0" w:color="000000"/>
            </w:tcBorders>
            <w:shd w:val="clear" w:color="000000" w:fill="FFFFFF"/>
            <w:vAlign w:val="center"/>
            <w:hideMark/>
          </w:tcPr>
          <w:p w14:paraId="675DCB49" w14:textId="77777777" w:rsidR="00C46B71" w:rsidRPr="00C46B71" w:rsidRDefault="00C46B71" w:rsidP="00C46B71">
            <w:pPr>
              <w:jc w:val="center"/>
              <w:rPr>
                <w:sz w:val="20"/>
                <w:szCs w:val="20"/>
              </w:rPr>
            </w:pPr>
            <w:r w:rsidRPr="00C46B71">
              <w:rPr>
                <w:sz w:val="20"/>
                <w:szCs w:val="20"/>
              </w:rPr>
              <w:t>75,6</w:t>
            </w:r>
          </w:p>
        </w:tc>
        <w:tc>
          <w:tcPr>
            <w:tcW w:w="1523" w:type="dxa"/>
            <w:tcBorders>
              <w:top w:val="nil"/>
              <w:left w:val="nil"/>
              <w:bottom w:val="single" w:sz="8" w:space="0" w:color="000000"/>
              <w:right w:val="single" w:sz="8" w:space="0" w:color="000000"/>
            </w:tcBorders>
            <w:shd w:val="clear" w:color="000000" w:fill="D9D9D9"/>
            <w:vAlign w:val="center"/>
            <w:hideMark/>
          </w:tcPr>
          <w:p w14:paraId="144CA0BD" w14:textId="77777777" w:rsidR="00C46B71" w:rsidRPr="006E0AFE" w:rsidRDefault="00C46B71" w:rsidP="00C46B71">
            <w:pPr>
              <w:jc w:val="right"/>
              <w:rPr>
                <w:b/>
                <w:bCs/>
                <w:sz w:val="20"/>
                <w:szCs w:val="20"/>
              </w:rPr>
            </w:pPr>
            <w:r w:rsidRPr="006E0AFE">
              <w:rPr>
                <w:b/>
                <w:bCs/>
                <w:sz w:val="20"/>
                <w:szCs w:val="20"/>
              </w:rPr>
              <w:t> </w:t>
            </w:r>
          </w:p>
        </w:tc>
        <w:tc>
          <w:tcPr>
            <w:tcW w:w="1523" w:type="dxa"/>
            <w:tcBorders>
              <w:top w:val="nil"/>
              <w:left w:val="nil"/>
              <w:bottom w:val="single" w:sz="8" w:space="0" w:color="000000"/>
              <w:right w:val="single" w:sz="8" w:space="0" w:color="000000"/>
            </w:tcBorders>
            <w:shd w:val="clear" w:color="000000" w:fill="D9D9D9"/>
            <w:vAlign w:val="center"/>
            <w:hideMark/>
          </w:tcPr>
          <w:p w14:paraId="5ABF37BE" w14:textId="77777777" w:rsidR="00C46B71" w:rsidRPr="006E0AFE" w:rsidRDefault="00C46B71" w:rsidP="00C46B71">
            <w:pPr>
              <w:jc w:val="right"/>
              <w:rPr>
                <w:b/>
                <w:bCs/>
                <w:sz w:val="20"/>
                <w:szCs w:val="20"/>
              </w:rPr>
            </w:pPr>
            <w:r w:rsidRPr="006E0AFE">
              <w:rPr>
                <w:b/>
                <w:bCs/>
                <w:sz w:val="20"/>
                <w:szCs w:val="20"/>
              </w:rPr>
              <w:t> </w:t>
            </w:r>
          </w:p>
        </w:tc>
      </w:tr>
    </w:tbl>
    <w:p w14:paraId="12D189AA" w14:textId="77777777" w:rsidR="00ED705B" w:rsidRPr="006E0AFE" w:rsidRDefault="00ED705B" w:rsidP="00ED705B">
      <w:pPr>
        <w:ind w:left="720"/>
        <w:jc w:val="both"/>
        <w:rPr>
          <w:lang w:eastAsia="en-US"/>
        </w:rPr>
      </w:pPr>
    </w:p>
    <w:p w14:paraId="0B9AF1F0" w14:textId="77777777" w:rsidR="00ED705B" w:rsidRPr="006E0AFE" w:rsidRDefault="00ED705B" w:rsidP="00ED705B">
      <w:pPr>
        <w:jc w:val="both"/>
        <w:rPr>
          <w:lang w:eastAsia="en-US"/>
        </w:rPr>
      </w:pPr>
      <w:r w:rsidRPr="006E0AFE">
        <w:rPr>
          <w:lang w:eastAsia="en-US"/>
        </w:rPr>
        <w:t xml:space="preserve">Iz prethodne tablice vidljivo je da unutar </w:t>
      </w:r>
      <w:r w:rsidRPr="006E0AFE">
        <w:rPr>
          <w:b/>
          <w:lang w:eastAsia="en-US"/>
        </w:rPr>
        <w:t>rashoda poslovanja</w:t>
      </w:r>
      <w:r w:rsidRPr="006E0AFE">
        <w:rPr>
          <w:lang w:eastAsia="en-US"/>
        </w:rPr>
        <w:t xml:space="preserve"> najveć</w:t>
      </w:r>
      <w:r w:rsidR="00857FD7" w:rsidRPr="006E0AFE">
        <w:rPr>
          <w:lang w:eastAsia="en-US"/>
        </w:rPr>
        <w:t>i</w:t>
      </w:r>
      <w:r w:rsidRPr="006E0AFE">
        <w:rPr>
          <w:lang w:eastAsia="en-US"/>
        </w:rPr>
        <w:t xml:space="preserve"> udio čine materijalni rashodi (35,2%) što je na razini 2020. godine dok najmanji udio imaju financijski rashodi (1,8%). </w:t>
      </w:r>
    </w:p>
    <w:p w14:paraId="524039FC" w14:textId="77777777" w:rsidR="00ED705B" w:rsidRPr="006E0AFE" w:rsidRDefault="00ED705B" w:rsidP="00ED705B">
      <w:pPr>
        <w:jc w:val="both"/>
        <w:rPr>
          <w:b/>
          <w:bCs/>
          <w:u w:val="single"/>
          <w:lang w:eastAsia="en-US"/>
        </w:rPr>
      </w:pPr>
    </w:p>
    <w:p w14:paraId="04FD626D" w14:textId="77777777" w:rsidR="00ED705B" w:rsidRPr="006E0AFE" w:rsidRDefault="00ED705B" w:rsidP="00ED705B">
      <w:pPr>
        <w:jc w:val="both"/>
        <w:rPr>
          <w:lang w:eastAsia="en-US"/>
        </w:rPr>
      </w:pPr>
      <w:r w:rsidRPr="006E0AFE">
        <w:rPr>
          <w:b/>
          <w:bCs/>
          <w:u w:val="single"/>
          <w:lang w:eastAsia="en-US"/>
        </w:rPr>
        <w:t>1.A. Rashodi za zaposlene</w:t>
      </w:r>
      <w:r w:rsidRPr="006E0AFE">
        <w:rPr>
          <w:u w:val="single"/>
          <w:lang w:eastAsia="en-US"/>
        </w:rPr>
        <w:t xml:space="preserve"> </w:t>
      </w:r>
      <w:r w:rsidRPr="006E0AFE">
        <w:rPr>
          <w:b/>
          <w:u w:val="single"/>
          <w:lang w:eastAsia="en-US"/>
        </w:rPr>
        <w:t>(31)</w:t>
      </w:r>
      <w:r w:rsidRPr="006E0AFE">
        <w:rPr>
          <w:lang w:eastAsia="en-US"/>
        </w:rPr>
        <w:t xml:space="preserve"> obuhvaćaju rashode za plaće i ostale rashode za zaposlene u općinskoj upravi i Dječjem vrtiću Matulji te rashode za plaće dužnosnika, a čine</w:t>
      </w:r>
      <w:r w:rsidR="00AE4422" w:rsidRPr="006E0AFE">
        <w:rPr>
          <w:lang w:eastAsia="en-US"/>
        </w:rPr>
        <w:t xml:space="preserve"> 27,6% rashoda poslovanja. </w:t>
      </w:r>
      <w:r w:rsidRPr="006E0AFE">
        <w:rPr>
          <w:lang w:eastAsia="en-US"/>
        </w:rPr>
        <w:t xml:space="preserve">Ovi rashodi planirani su na </w:t>
      </w:r>
      <w:r w:rsidRPr="006E0AFE">
        <w:rPr>
          <w:rFonts w:eastAsia="Calibri"/>
          <w:lang w:eastAsia="en-US"/>
        </w:rPr>
        <w:t>osnovi važećih koeficijenata i osnovica, a viši su</w:t>
      </w:r>
      <w:r w:rsidRPr="006E0AFE">
        <w:rPr>
          <w:lang w:eastAsia="en-US"/>
        </w:rPr>
        <w:t xml:space="preserve"> u odnosu na 2020. godinu za 3% iz razloga što u 2020. godini novi djelatnici </w:t>
      </w:r>
      <w:r w:rsidRPr="006E0AFE">
        <w:rPr>
          <w:rFonts w:eastAsia="Calibri"/>
          <w:lang w:eastAsia="en-US"/>
        </w:rPr>
        <w:t>u općinskoj upravi nisu bili zaposleni cijelu godinu.</w:t>
      </w:r>
      <w:r w:rsidRPr="006E0AFE">
        <w:rPr>
          <w:lang w:eastAsia="en-US"/>
        </w:rPr>
        <w:t xml:space="preserve"> Plaće za dužnosnike su planirane na istoj razini kao i 2020. godine, odnosno prema trenutnom broju dužnosnika budući izmjene zakonskih propisa još nisu donesene te će isto uskladiti nakon donošenja izmjena. Rashodi za zaposlene u </w:t>
      </w:r>
      <w:r w:rsidRPr="006E0AFE">
        <w:rPr>
          <w:b/>
          <w:lang w:eastAsia="en-US"/>
        </w:rPr>
        <w:t>projekciji za 2022. i 2023. godinu</w:t>
      </w:r>
      <w:r w:rsidRPr="006E0AFE">
        <w:rPr>
          <w:lang w:eastAsia="en-US"/>
        </w:rPr>
        <w:t xml:space="preserve"> planiraju se u nešto višem iznosu u odnosu na 2021. godinu s obzirom na intenciju povećanja plaća u općinskoj upravi što je bilo planirano još prošle godine u projekciji za 2021. godinu budući da plaće zaostaju u odnosu na plaće okolnih općina. </w:t>
      </w:r>
    </w:p>
    <w:p w14:paraId="07B595F7" w14:textId="77777777" w:rsidR="00ED705B" w:rsidRPr="006E0AFE" w:rsidRDefault="00ED705B" w:rsidP="00ED705B">
      <w:pPr>
        <w:jc w:val="both"/>
        <w:rPr>
          <w:lang w:eastAsia="en-US"/>
        </w:rPr>
      </w:pPr>
    </w:p>
    <w:p w14:paraId="5C46D834" w14:textId="77777777" w:rsidR="00ED705B" w:rsidRPr="006E0AFE" w:rsidRDefault="00ED705B" w:rsidP="00ED705B">
      <w:pPr>
        <w:tabs>
          <w:tab w:val="left" w:pos="709"/>
          <w:tab w:val="right" w:pos="5670"/>
          <w:tab w:val="right" w:pos="7513"/>
        </w:tabs>
        <w:jc w:val="both"/>
        <w:rPr>
          <w:b/>
          <w:lang w:eastAsia="en-US"/>
        </w:rPr>
      </w:pPr>
      <w:r w:rsidRPr="006E0AFE">
        <w:rPr>
          <w:b/>
          <w:bCs/>
          <w:u w:val="single"/>
          <w:lang w:eastAsia="en-US"/>
        </w:rPr>
        <w:t>1.B. Materijalni rashodi</w:t>
      </w:r>
      <w:r w:rsidRPr="006E0AFE">
        <w:rPr>
          <w:u w:val="single"/>
          <w:lang w:eastAsia="en-US"/>
        </w:rPr>
        <w:t xml:space="preserve"> </w:t>
      </w:r>
      <w:r w:rsidRPr="006E0AFE">
        <w:rPr>
          <w:b/>
          <w:u w:val="single"/>
          <w:lang w:eastAsia="en-US"/>
        </w:rPr>
        <w:t>(32)</w:t>
      </w:r>
      <w:r w:rsidRPr="006E0AFE">
        <w:rPr>
          <w:b/>
          <w:lang w:eastAsia="en-US"/>
        </w:rPr>
        <w:t xml:space="preserve"> </w:t>
      </w:r>
      <w:r w:rsidRPr="006E0AFE">
        <w:rPr>
          <w:lang w:eastAsia="en-US"/>
        </w:rPr>
        <w:t>obuhvaćaju</w:t>
      </w:r>
      <w:r w:rsidRPr="006E0AFE">
        <w:rPr>
          <w:b/>
          <w:lang w:eastAsia="en-US"/>
        </w:rPr>
        <w:t xml:space="preserve"> </w:t>
      </w:r>
      <w:r w:rsidRPr="006E0AFE">
        <w:rPr>
          <w:u w:val="single"/>
          <w:lang w:eastAsia="en-US"/>
        </w:rPr>
        <w:t>rashode za usluge</w:t>
      </w:r>
      <w:r w:rsidRPr="006E0AFE">
        <w:rPr>
          <w:lang w:eastAsia="en-US"/>
        </w:rPr>
        <w:t xml:space="preserve"> (usluge tekućeg i investicijskog održavanja (koje se najvećim dijelom odnosi na održavanje komunalne infrastrukture), komunalne usluge, usluge telefona, pošte i prijevoza, zdravstvene i veterinarske usluge, usluge promidžbe i informiranja, intelektualne i osobne usluge, računalne i ostale usluge), </w:t>
      </w:r>
      <w:r w:rsidRPr="006E0AFE">
        <w:rPr>
          <w:u w:val="single"/>
          <w:lang w:eastAsia="en-US"/>
        </w:rPr>
        <w:t>naknade troškova zaposlenima</w:t>
      </w:r>
      <w:r w:rsidRPr="006E0AFE">
        <w:rPr>
          <w:lang w:eastAsia="en-US"/>
        </w:rPr>
        <w:t xml:space="preserve"> (rashodi za službena putovanja, naknade za prijevoz za dolazak na posao i s posla, stručno usavršavanje zaposlenika i ostale naknade),  </w:t>
      </w:r>
      <w:r w:rsidRPr="006E0AFE">
        <w:rPr>
          <w:u w:val="single"/>
          <w:lang w:eastAsia="en-US"/>
        </w:rPr>
        <w:t>rashode za materijal i energiju</w:t>
      </w:r>
      <w:r w:rsidRPr="006E0AFE">
        <w:rPr>
          <w:lang w:eastAsia="en-US"/>
        </w:rPr>
        <w:t xml:space="preserve"> (uredski materijal, sitni inventar, službena i radna odjeća, materijal-namirnice, materijal i dijelovi za održavanje, troškovi za energiju) te </w:t>
      </w:r>
      <w:r w:rsidRPr="006E0AFE">
        <w:rPr>
          <w:u w:val="single"/>
          <w:lang w:eastAsia="en-US"/>
        </w:rPr>
        <w:t>ostale nespomenute rashode poslovanja</w:t>
      </w:r>
      <w:r w:rsidRPr="006E0AFE">
        <w:rPr>
          <w:lang w:eastAsia="en-US"/>
        </w:rPr>
        <w:t xml:space="preserve"> (naknade za rad predstavničkih tijela, premije osiguranja, reprezentacija, članarina, pristojbe). Materijalni rashodi </w:t>
      </w:r>
      <w:r w:rsidRPr="006E0AFE">
        <w:rPr>
          <w:b/>
          <w:lang w:eastAsia="en-US"/>
        </w:rPr>
        <w:t>za 2021. godinu</w:t>
      </w:r>
      <w:r w:rsidRPr="006E0AFE">
        <w:rPr>
          <w:lang w:eastAsia="en-US"/>
        </w:rPr>
        <w:t xml:space="preserve"> planirani su za 7,2% niže u odnosu na 2020. godinu što je rezultat smanjenja rashoda za održavanje komunalne infrastrukture s obzirom na raspoložive namjenske prihode, smanjenja rashoda za tekuće i investicijsko održavanje koje su planirali mjesni odbori iz ostvarenog viška od vlastitih prihoda, smanjenja rashoda za intelektualne usluge te promjene evidentiranja održavanja poslovnih prostora. Materijalni rashodi smanjuju se u </w:t>
      </w:r>
      <w:r w:rsidRPr="006E0AFE">
        <w:rPr>
          <w:b/>
          <w:lang w:eastAsia="en-US"/>
        </w:rPr>
        <w:t>2022. i 2023. godini</w:t>
      </w:r>
      <w:r w:rsidRPr="006E0AFE">
        <w:rPr>
          <w:lang w:eastAsia="en-US"/>
        </w:rPr>
        <w:t xml:space="preserve"> najvećim dijelom radi planiranog smanjenja troškova potrošnje i održavanja javne rasvjete.</w:t>
      </w:r>
    </w:p>
    <w:p w14:paraId="24E13AED" w14:textId="77777777" w:rsidR="00ED705B" w:rsidRPr="006E0AFE" w:rsidRDefault="00ED705B" w:rsidP="00ED705B">
      <w:pPr>
        <w:tabs>
          <w:tab w:val="left" w:pos="709"/>
          <w:tab w:val="right" w:pos="5670"/>
          <w:tab w:val="right" w:pos="7513"/>
        </w:tabs>
        <w:jc w:val="both"/>
        <w:rPr>
          <w:b/>
          <w:u w:val="single"/>
          <w:lang w:eastAsia="en-US"/>
        </w:rPr>
      </w:pPr>
    </w:p>
    <w:p w14:paraId="6F9E6F7C" w14:textId="77777777" w:rsidR="00ED705B" w:rsidRPr="006E0AFE" w:rsidRDefault="00ED705B" w:rsidP="00ED705B">
      <w:pPr>
        <w:tabs>
          <w:tab w:val="left" w:pos="709"/>
          <w:tab w:val="right" w:pos="5670"/>
          <w:tab w:val="right" w:pos="7513"/>
        </w:tabs>
        <w:jc w:val="both"/>
        <w:rPr>
          <w:lang w:eastAsia="en-US"/>
        </w:rPr>
      </w:pPr>
      <w:r w:rsidRPr="006E0AFE">
        <w:rPr>
          <w:b/>
          <w:u w:val="single"/>
          <w:lang w:eastAsia="en-US"/>
        </w:rPr>
        <w:t>1.C. Financijski rashodi (34)</w:t>
      </w:r>
      <w:r w:rsidRPr="006E0AFE">
        <w:rPr>
          <w:lang w:eastAsia="en-US"/>
        </w:rPr>
        <w:t xml:space="preserve"> planirani su za rashode za kamate za primljene kredite te rashode za bankarske usluge. Financijski rashodi su planirani na osnovi obveza na ime kamata po zaključenim ugovorima o kreditima, planiranim rashodima za naknadu banke za obradu kredita te planiranim rashodima za usluge platnog prometa. Planirani rashodi su </w:t>
      </w:r>
      <w:r w:rsidR="00AE4422" w:rsidRPr="006E0AFE">
        <w:rPr>
          <w:lang w:eastAsia="en-US"/>
        </w:rPr>
        <w:t xml:space="preserve">u </w:t>
      </w:r>
      <w:r w:rsidR="00AE4422" w:rsidRPr="006E0AFE">
        <w:rPr>
          <w:b/>
          <w:lang w:eastAsia="en-US"/>
        </w:rPr>
        <w:t>2021. godini</w:t>
      </w:r>
      <w:r w:rsidR="00AE4422" w:rsidRPr="006E0AFE">
        <w:rPr>
          <w:lang w:eastAsia="en-US"/>
        </w:rPr>
        <w:t xml:space="preserve"> </w:t>
      </w:r>
      <w:r w:rsidRPr="006E0AFE">
        <w:rPr>
          <w:lang w:eastAsia="en-US"/>
        </w:rPr>
        <w:t xml:space="preserve">viši za 62,3% u odnosu na 2020. godinu prvenstveno radi većih </w:t>
      </w:r>
      <w:proofErr w:type="spellStart"/>
      <w:r w:rsidRPr="006E0AFE">
        <w:rPr>
          <w:lang w:eastAsia="en-US"/>
        </w:rPr>
        <w:t>interkalarnih</w:t>
      </w:r>
      <w:proofErr w:type="spellEnd"/>
      <w:r w:rsidRPr="006E0AFE">
        <w:rPr>
          <w:lang w:eastAsia="en-US"/>
        </w:rPr>
        <w:t xml:space="preserve"> kamata po osnovi kredita koji su povučeni u 2019. i 2020. godini te naknade za obradu kredita koji je planiran za 2021. godinu. </w:t>
      </w:r>
      <w:r w:rsidRPr="006E0AFE">
        <w:rPr>
          <w:b/>
          <w:lang w:eastAsia="en-US"/>
        </w:rPr>
        <w:t>Projekcijom za 2022. i 2023. godinu</w:t>
      </w:r>
      <w:r w:rsidRPr="006E0AFE">
        <w:rPr>
          <w:lang w:eastAsia="en-US"/>
        </w:rPr>
        <w:t xml:space="preserve"> planira se povećanje financijskih rashoda s obzirom na više obveze na ime kamata po ugovorima o kreditu.</w:t>
      </w:r>
    </w:p>
    <w:p w14:paraId="2C27DCA3" w14:textId="77777777" w:rsidR="00ED705B" w:rsidRPr="006E0AFE" w:rsidRDefault="00ED705B" w:rsidP="00ED705B">
      <w:pPr>
        <w:tabs>
          <w:tab w:val="left" w:pos="709"/>
          <w:tab w:val="right" w:pos="5670"/>
          <w:tab w:val="right" w:pos="7513"/>
        </w:tabs>
        <w:jc w:val="both"/>
        <w:rPr>
          <w:b/>
          <w:u w:val="single"/>
          <w:lang w:eastAsia="en-US"/>
        </w:rPr>
      </w:pPr>
    </w:p>
    <w:p w14:paraId="104824F8" w14:textId="77777777" w:rsidR="00ED705B" w:rsidRPr="006E0AFE" w:rsidRDefault="00ED705B" w:rsidP="00ED705B">
      <w:pPr>
        <w:tabs>
          <w:tab w:val="left" w:pos="709"/>
          <w:tab w:val="right" w:pos="5670"/>
          <w:tab w:val="right" w:pos="7513"/>
        </w:tabs>
        <w:jc w:val="both"/>
        <w:rPr>
          <w:lang w:eastAsia="en-US"/>
        </w:rPr>
      </w:pPr>
      <w:r w:rsidRPr="006E0AFE">
        <w:rPr>
          <w:b/>
          <w:u w:val="single"/>
          <w:lang w:eastAsia="en-US"/>
        </w:rPr>
        <w:t>1.D. Rashodi za subvencije (35)</w:t>
      </w:r>
      <w:r w:rsidRPr="006E0AFE">
        <w:rPr>
          <w:lang w:eastAsia="en-US"/>
        </w:rPr>
        <w:t xml:space="preserve"> obuhvaćaju</w:t>
      </w:r>
      <w:r w:rsidRPr="006E0AFE">
        <w:rPr>
          <w:b/>
          <w:lang w:eastAsia="en-US"/>
        </w:rPr>
        <w:t xml:space="preserve"> </w:t>
      </w:r>
      <w:r w:rsidRPr="006E0AFE">
        <w:rPr>
          <w:u w:val="single"/>
          <w:lang w:eastAsia="en-US"/>
        </w:rPr>
        <w:t>subvencije trgovačkim društvima u javnom sektoru</w:t>
      </w:r>
      <w:r w:rsidRPr="006E0AFE">
        <w:rPr>
          <w:lang w:eastAsia="en-US"/>
        </w:rPr>
        <w:t xml:space="preserve"> te </w:t>
      </w:r>
      <w:r w:rsidRPr="006E0AFE">
        <w:rPr>
          <w:u w:val="single"/>
          <w:lang w:eastAsia="en-US"/>
        </w:rPr>
        <w:t>subvencije trgovačkim društvima, poljoprivrednicima i obrtnicima izvan javnog sektora</w:t>
      </w:r>
      <w:r w:rsidRPr="006E0AFE">
        <w:rPr>
          <w:lang w:eastAsia="en-US"/>
        </w:rPr>
        <w:t xml:space="preserve">. Subvencije planirane Proračunom </w:t>
      </w:r>
      <w:r w:rsidRPr="006E0AFE">
        <w:rPr>
          <w:b/>
          <w:lang w:eastAsia="en-US"/>
        </w:rPr>
        <w:t>za 2021. godinu</w:t>
      </w:r>
      <w:r w:rsidRPr="006E0AFE">
        <w:rPr>
          <w:lang w:eastAsia="en-US"/>
        </w:rPr>
        <w:t xml:space="preserve"> obuhvaćaju subvencije za javni prijevoz te subvencije poduzetnicima, poljoprivrednicima i obrtnicima sukladno programima potpore (sufinanciranje kamata na kredite, potpore za razvoj poljoprivredne proizvodnje). Planirane subvencije se u odnosu na 2020. godinu smanjuju za 11,9% najvećim dijelom zbog planirane manje subvencije za javni prijevoz koji obavlja KD Autotrolej što je rezultat novog obračuna subvencije. U </w:t>
      </w:r>
      <w:r w:rsidRPr="006E0AFE">
        <w:rPr>
          <w:b/>
          <w:lang w:eastAsia="en-US"/>
        </w:rPr>
        <w:t>projekciji za 2022. godinu</w:t>
      </w:r>
      <w:r w:rsidRPr="006E0AFE">
        <w:rPr>
          <w:lang w:eastAsia="en-US"/>
        </w:rPr>
        <w:t xml:space="preserve"> planirane subvencije se  povećavaju za iznos pokrića gubitka KD Autotrolej iz 2019. godine, dok su subvencije u projekciji za </w:t>
      </w:r>
      <w:r w:rsidRPr="006E0AFE">
        <w:rPr>
          <w:b/>
          <w:lang w:eastAsia="en-US"/>
        </w:rPr>
        <w:t>2023. godinu</w:t>
      </w:r>
      <w:r w:rsidRPr="006E0AFE">
        <w:rPr>
          <w:lang w:eastAsia="en-US"/>
        </w:rPr>
        <w:t xml:space="preserve"> na razini 2021. godine.</w:t>
      </w:r>
    </w:p>
    <w:p w14:paraId="3ABF0A12" w14:textId="77777777" w:rsidR="00ED705B" w:rsidRPr="006E0AFE" w:rsidRDefault="00ED705B" w:rsidP="00ED705B">
      <w:pPr>
        <w:tabs>
          <w:tab w:val="left" w:pos="709"/>
          <w:tab w:val="right" w:pos="5670"/>
          <w:tab w:val="right" w:pos="7513"/>
        </w:tabs>
        <w:jc w:val="both"/>
        <w:rPr>
          <w:lang w:eastAsia="en-US"/>
        </w:rPr>
      </w:pPr>
    </w:p>
    <w:p w14:paraId="4DF2356C" w14:textId="77777777" w:rsidR="00ED705B" w:rsidRPr="006E0AFE" w:rsidRDefault="00ED705B" w:rsidP="00ED705B">
      <w:pPr>
        <w:tabs>
          <w:tab w:val="left" w:pos="709"/>
          <w:tab w:val="right" w:pos="5670"/>
          <w:tab w:val="right" w:pos="7513"/>
        </w:tabs>
        <w:jc w:val="both"/>
        <w:rPr>
          <w:lang w:eastAsia="en-US"/>
        </w:rPr>
      </w:pPr>
      <w:r w:rsidRPr="006E0AFE">
        <w:rPr>
          <w:b/>
          <w:u w:val="single"/>
          <w:lang w:eastAsia="en-US"/>
        </w:rPr>
        <w:t>1.E</w:t>
      </w:r>
      <w:r w:rsidR="00AE4422" w:rsidRPr="006E0AFE">
        <w:rPr>
          <w:b/>
          <w:u w:val="single"/>
          <w:lang w:eastAsia="en-US"/>
        </w:rPr>
        <w:t>.</w:t>
      </w:r>
      <w:r w:rsidRPr="006E0AFE">
        <w:rPr>
          <w:b/>
          <w:u w:val="single"/>
          <w:lang w:eastAsia="en-US"/>
        </w:rPr>
        <w:t xml:space="preserve"> Pomoći dane u inozemstvo i unutar općeg proračuna (36)</w:t>
      </w:r>
      <w:r w:rsidRPr="006E0AFE">
        <w:rPr>
          <w:b/>
          <w:lang w:eastAsia="en-US"/>
        </w:rPr>
        <w:t xml:space="preserve"> </w:t>
      </w:r>
      <w:r w:rsidRPr="006E0AFE">
        <w:rPr>
          <w:lang w:eastAsia="en-US"/>
        </w:rPr>
        <w:t xml:space="preserve">čine </w:t>
      </w:r>
      <w:r w:rsidRPr="006E0AFE">
        <w:rPr>
          <w:u w:val="single"/>
          <w:lang w:eastAsia="en-US"/>
        </w:rPr>
        <w:t>pomoći unutar općeg proračuna</w:t>
      </w:r>
      <w:r w:rsidRPr="006E0AFE">
        <w:rPr>
          <w:lang w:eastAsia="en-US"/>
        </w:rPr>
        <w:t xml:space="preserve"> i </w:t>
      </w:r>
      <w:r w:rsidRPr="006E0AFE">
        <w:rPr>
          <w:u w:val="single"/>
          <w:lang w:eastAsia="en-US"/>
        </w:rPr>
        <w:t>pomoći proračunskim korisnicima drugih proračuna</w:t>
      </w:r>
      <w:r w:rsidRPr="006E0AFE">
        <w:rPr>
          <w:lang w:eastAsia="en-US"/>
        </w:rPr>
        <w:t xml:space="preserve">, a dijele se na tekuće i kapitalne pomoći. Ukupno su pomoći u </w:t>
      </w:r>
      <w:r w:rsidRPr="006E0AFE">
        <w:rPr>
          <w:b/>
          <w:lang w:eastAsia="en-US"/>
        </w:rPr>
        <w:t>2021. godini</w:t>
      </w:r>
      <w:r w:rsidRPr="006E0AFE">
        <w:rPr>
          <w:lang w:eastAsia="en-US"/>
        </w:rPr>
        <w:t xml:space="preserve"> planirane nešto niže u odnosu na 2020. godinu (-11,9%). </w:t>
      </w:r>
    </w:p>
    <w:p w14:paraId="5FF844C0" w14:textId="77777777" w:rsidR="00ED705B" w:rsidRPr="006E0AFE" w:rsidRDefault="00ED705B" w:rsidP="00ED705B">
      <w:pPr>
        <w:tabs>
          <w:tab w:val="left" w:pos="709"/>
          <w:tab w:val="right" w:pos="5670"/>
          <w:tab w:val="right" w:pos="7513"/>
        </w:tabs>
        <w:jc w:val="both"/>
        <w:rPr>
          <w:lang w:eastAsia="en-US"/>
        </w:rPr>
      </w:pPr>
      <w:r w:rsidRPr="006E0AFE">
        <w:rPr>
          <w:lang w:eastAsia="en-US"/>
        </w:rPr>
        <w:t xml:space="preserve">Pretežiti dio sredstva u okviru ove skupine rashoda čine </w:t>
      </w:r>
      <w:r w:rsidRPr="006E0AFE">
        <w:rPr>
          <w:u w:val="single"/>
          <w:lang w:eastAsia="en-US"/>
        </w:rPr>
        <w:t>Pomoći proračunskim korisnicima drugih proračuna</w:t>
      </w:r>
      <w:r w:rsidRPr="006E0AFE">
        <w:rPr>
          <w:lang w:eastAsia="en-US"/>
        </w:rPr>
        <w:t xml:space="preserve"> što se gotovo u cijelosti odnosi na tekuće planirane za sufinanciranje rada OŠ </w:t>
      </w:r>
      <w:proofErr w:type="spellStart"/>
      <w:r w:rsidRPr="006E0AFE">
        <w:rPr>
          <w:lang w:eastAsia="en-US"/>
        </w:rPr>
        <w:t>A.Mohorovičić</w:t>
      </w:r>
      <w:proofErr w:type="spellEnd"/>
      <w:r w:rsidRPr="006E0AFE">
        <w:rPr>
          <w:lang w:eastAsia="en-US"/>
        </w:rPr>
        <w:t xml:space="preserve"> Matulji, OŠ </w:t>
      </w:r>
      <w:proofErr w:type="spellStart"/>
      <w:r w:rsidRPr="006E0AFE">
        <w:rPr>
          <w:lang w:eastAsia="en-US"/>
        </w:rPr>
        <w:t>D.Gervais</w:t>
      </w:r>
      <w:proofErr w:type="spellEnd"/>
      <w:r w:rsidRPr="006E0AFE">
        <w:rPr>
          <w:lang w:eastAsia="en-US"/>
        </w:rPr>
        <w:t xml:space="preserve"> </w:t>
      </w:r>
      <w:proofErr w:type="spellStart"/>
      <w:r w:rsidRPr="006E0AFE">
        <w:rPr>
          <w:lang w:eastAsia="en-US"/>
        </w:rPr>
        <w:t>Brešca</w:t>
      </w:r>
      <w:proofErr w:type="spellEnd"/>
      <w:r w:rsidRPr="006E0AFE">
        <w:rPr>
          <w:lang w:eastAsia="en-US"/>
        </w:rPr>
        <w:t xml:space="preserve">, Gradske knjižnice i čitaonice </w:t>
      </w:r>
      <w:proofErr w:type="spellStart"/>
      <w:r w:rsidRPr="006E0AFE">
        <w:rPr>
          <w:lang w:eastAsia="en-US"/>
        </w:rPr>
        <w:t>V.C.Emin</w:t>
      </w:r>
      <w:proofErr w:type="spellEnd"/>
      <w:r w:rsidRPr="006E0AFE">
        <w:rPr>
          <w:lang w:eastAsia="en-US"/>
        </w:rPr>
        <w:t xml:space="preserve"> Opatija, Muzeja Lipa, Gradske knjižnice Rijeka (Bibliobus), Javne vatrogasne postrojbe Opatija, Doma zdravlja PGŽ (ukupno 2.789.860 </w:t>
      </w:r>
      <w:r w:rsidRPr="006E0AFE">
        <w:rPr>
          <w:lang w:eastAsia="en-US"/>
        </w:rPr>
        <w:lastRenderedPageBreak/>
        <w:t xml:space="preserve">kn). Kapitalne pomoći  korisnicima drugih proračuna (92.225 kn) planirane su sufinanciranju kapitalnih ulaganja Gradske knjižnice i čitaonice </w:t>
      </w:r>
      <w:proofErr w:type="spellStart"/>
      <w:r w:rsidRPr="006E0AFE">
        <w:rPr>
          <w:lang w:eastAsia="en-US"/>
        </w:rPr>
        <w:t>V.C.Emin</w:t>
      </w:r>
      <w:proofErr w:type="spellEnd"/>
      <w:r w:rsidRPr="006E0AFE">
        <w:rPr>
          <w:lang w:eastAsia="en-US"/>
        </w:rPr>
        <w:t xml:space="preserve"> Opatija te Javne vatrogasne postrojbe Opatija. </w:t>
      </w:r>
    </w:p>
    <w:p w14:paraId="527275C1" w14:textId="77777777" w:rsidR="00ED705B" w:rsidRPr="006E0AFE" w:rsidRDefault="00ED705B" w:rsidP="00ED705B">
      <w:pPr>
        <w:tabs>
          <w:tab w:val="left" w:pos="709"/>
          <w:tab w:val="right" w:pos="5670"/>
          <w:tab w:val="right" w:pos="7513"/>
        </w:tabs>
        <w:jc w:val="both"/>
        <w:rPr>
          <w:lang w:eastAsia="en-US"/>
        </w:rPr>
      </w:pPr>
      <w:r w:rsidRPr="006E0AFE">
        <w:rPr>
          <w:u w:val="single"/>
          <w:lang w:eastAsia="en-US"/>
        </w:rPr>
        <w:t>Pomoći unutar općeg proračuna</w:t>
      </w:r>
      <w:r w:rsidRPr="006E0AFE">
        <w:rPr>
          <w:lang w:eastAsia="en-US"/>
        </w:rPr>
        <w:t xml:space="preserve"> također se dijele na tekuće i kapitalne pomoći. U okviru tekućih pomoći </w:t>
      </w:r>
      <w:r w:rsidRPr="007A34D5">
        <w:rPr>
          <w:b/>
          <w:lang w:eastAsia="en-US"/>
        </w:rPr>
        <w:t>za 2021. godinu</w:t>
      </w:r>
      <w:r w:rsidRPr="006E0AFE">
        <w:rPr>
          <w:lang w:eastAsia="en-US"/>
        </w:rPr>
        <w:t xml:space="preserve"> planiraju se sredstva za sufinanciranje željezničkog prijevoza, dok su kapitalne pomoći planirane unutar Programa Sufinanciranje javne infrastrukture za sufinanciranje investicija Županijske uprave za ceste PGŽ, Hrvatskih cesta i Autoceste Rijeka-Zagreb od važnosti za Općinu. Projekcije za </w:t>
      </w:r>
      <w:r w:rsidRPr="006E0AFE">
        <w:rPr>
          <w:b/>
          <w:lang w:eastAsia="en-US"/>
        </w:rPr>
        <w:t>2022. i 2023.</w:t>
      </w:r>
      <w:r w:rsidR="00AE4422" w:rsidRPr="006E0AFE">
        <w:rPr>
          <w:b/>
          <w:lang w:eastAsia="en-US"/>
        </w:rPr>
        <w:t xml:space="preserve"> godini</w:t>
      </w:r>
      <w:r w:rsidRPr="006E0AFE">
        <w:rPr>
          <w:b/>
          <w:lang w:eastAsia="en-US"/>
        </w:rPr>
        <w:t xml:space="preserve"> </w:t>
      </w:r>
      <w:r w:rsidRPr="006E0AFE">
        <w:rPr>
          <w:lang w:eastAsia="en-US"/>
        </w:rPr>
        <w:t>planirane su na razini 2021. godine, međutim planira se veći iznos za Pomoći proračunskim korisnicima drugih proračuna (pomoć JVP za otplatu kredita za izgradnju vatrogasnog doma), dok se smanjuju pomoći za sufinanciranje javnih cesta.</w:t>
      </w:r>
    </w:p>
    <w:p w14:paraId="0C1C5E8F" w14:textId="77777777" w:rsidR="00ED705B" w:rsidRPr="006E0AFE" w:rsidRDefault="00ED705B" w:rsidP="00ED705B">
      <w:pPr>
        <w:tabs>
          <w:tab w:val="left" w:pos="709"/>
          <w:tab w:val="right" w:pos="5670"/>
          <w:tab w:val="right" w:pos="7513"/>
        </w:tabs>
        <w:jc w:val="both"/>
        <w:rPr>
          <w:b/>
          <w:lang w:eastAsia="en-US"/>
        </w:rPr>
      </w:pPr>
    </w:p>
    <w:p w14:paraId="37644793" w14:textId="77777777" w:rsidR="00ED705B" w:rsidRPr="006E0AFE" w:rsidRDefault="00ED705B" w:rsidP="00ED705B">
      <w:pPr>
        <w:tabs>
          <w:tab w:val="left" w:pos="709"/>
          <w:tab w:val="right" w:pos="5670"/>
          <w:tab w:val="right" w:pos="7513"/>
        </w:tabs>
        <w:jc w:val="both"/>
        <w:rPr>
          <w:lang w:eastAsia="en-US"/>
        </w:rPr>
      </w:pPr>
      <w:r w:rsidRPr="006E0AFE">
        <w:rPr>
          <w:b/>
          <w:u w:val="single"/>
          <w:lang w:eastAsia="en-US"/>
        </w:rPr>
        <w:t>1.F. Naknade građanima i kućanstvima (37)</w:t>
      </w:r>
      <w:r w:rsidRPr="006E0AFE">
        <w:rPr>
          <w:lang w:eastAsia="en-US"/>
        </w:rPr>
        <w:t xml:space="preserve"> obuhvaćaju rashode za pomoći sukladno programu socijalne skrbi i zdravstva, pomoći za novorođenu djecu, pomoći za obitelji s više djece kroz nižu cijenu redovnog programa vrtića, stipendije učenicima i studentima, sufinanciranje cijene prijevoza za učenike i studente, pomoći za nabavu nastavnog materijala učenicima te naknade građanima za priključak na kanalizaciju. Planirana sredstva za navedene namjene u </w:t>
      </w:r>
      <w:r w:rsidRPr="006E0AFE">
        <w:rPr>
          <w:b/>
          <w:lang w:eastAsia="en-US"/>
        </w:rPr>
        <w:t>2021. godini te 2022. i 2023. godini</w:t>
      </w:r>
      <w:r w:rsidRPr="006E0AFE">
        <w:rPr>
          <w:lang w:eastAsia="en-US"/>
        </w:rPr>
        <w:t xml:space="preserve"> na razini su 2020. godine, odnosno neznatno povećana, a povećanje se odnosi na povećanje iznosa za stipendije za učenike i studente.</w:t>
      </w:r>
    </w:p>
    <w:p w14:paraId="1D1AB203" w14:textId="77777777" w:rsidR="00ED705B" w:rsidRPr="006E0AFE" w:rsidRDefault="00ED705B" w:rsidP="00ED705B">
      <w:pPr>
        <w:tabs>
          <w:tab w:val="left" w:pos="709"/>
          <w:tab w:val="right" w:pos="5670"/>
          <w:tab w:val="right" w:pos="7513"/>
        </w:tabs>
        <w:jc w:val="both"/>
        <w:rPr>
          <w:lang w:eastAsia="en-US"/>
        </w:rPr>
      </w:pPr>
    </w:p>
    <w:p w14:paraId="242BEE3D" w14:textId="77777777" w:rsidR="00ED705B" w:rsidRPr="006E0AFE" w:rsidRDefault="00ED705B" w:rsidP="00ED705B">
      <w:pPr>
        <w:tabs>
          <w:tab w:val="left" w:pos="709"/>
          <w:tab w:val="right" w:pos="5670"/>
          <w:tab w:val="right" w:pos="7513"/>
        </w:tabs>
        <w:jc w:val="both"/>
        <w:rPr>
          <w:lang w:eastAsia="en-US"/>
        </w:rPr>
      </w:pPr>
      <w:r w:rsidRPr="006E0AFE">
        <w:rPr>
          <w:b/>
          <w:u w:val="single"/>
          <w:lang w:eastAsia="en-US"/>
        </w:rPr>
        <w:t>1.G</w:t>
      </w:r>
      <w:r w:rsidR="00AE4422" w:rsidRPr="006E0AFE">
        <w:rPr>
          <w:b/>
          <w:u w:val="single"/>
          <w:lang w:eastAsia="en-US"/>
        </w:rPr>
        <w:t>.</w:t>
      </w:r>
      <w:r w:rsidRPr="006E0AFE">
        <w:rPr>
          <w:b/>
          <w:u w:val="single"/>
          <w:lang w:eastAsia="en-US"/>
        </w:rPr>
        <w:t xml:space="preserve"> Ostali rashodi (38)</w:t>
      </w:r>
      <w:r w:rsidRPr="006E0AFE">
        <w:rPr>
          <w:b/>
          <w:lang w:eastAsia="en-US"/>
        </w:rPr>
        <w:t xml:space="preserve"> </w:t>
      </w:r>
      <w:r w:rsidRPr="006E0AFE">
        <w:rPr>
          <w:bCs/>
          <w:lang w:eastAsia="en-US"/>
        </w:rPr>
        <w:t>sadrže</w:t>
      </w:r>
      <w:r w:rsidRPr="006E0AFE">
        <w:rPr>
          <w:b/>
          <w:lang w:eastAsia="en-US"/>
        </w:rPr>
        <w:t xml:space="preserve"> </w:t>
      </w:r>
      <w:r w:rsidRPr="006E0AFE">
        <w:rPr>
          <w:u w:val="single"/>
          <w:lang w:eastAsia="en-US"/>
        </w:rPr>
        <w:t xml:space="preserve">Tekuće donacije </w:t>
      </w:r>
      <w:r w:rsidRPr="006E0AFE">
        <w:rPr>
          <w:lang w:eastAsia="en-US"/>
        </w:rPr>
        <w:t xml:space="preserve">(sredstva za rad neprofitnih organizacija u okviru Programa Školstvo, Kultura, Sport, Socijalna skrb i Zdravstvo, sredstva za političke stranke, sredstva za dobrovoljno vatrogasno društvo, tekuće donacije iz EU sredstava za projekt Aktivni umirovljenici), </w:t>
      </w:r>
      <w:r w:rsidRPr="006E0AFE">
        <w:rPr>
          <w:u w:val="single"/>
          <w:lang w:eastAsia="en-US"/>
        </w:rPr>
        <w:t>Kapitalne donacije</w:t>
      </w:r>
      <w:r w:rsidRPr="006E0AFE">
        <w:rPr>
          <w:lang w:eastAsia="en-US"/>
        </w:rPr>
        <w:t xml:space="preserve"> (sufinanciranje ulaganja za nabavu opreme za protupožarnu zaštitu PVZ Liburnije i DVD Kras - </w:t>
      </w:r>
      <w:proofErr w:type="spellStart"/>
      <w:r w:rsidRPr="006E0AFE">
        <w:rPr>
          <w:lang w:eastAsia="en-US"/>
        </w:rPr>
        <w:t>Šapjane</w:t>
      </w:r>
      <w:proofErr w:type="spellEnd"/>
      <w:r w:rsidRPr="006E0AFE">
        <w:rPr>
          <w:lang w:eastAsia="en-US"/>
        </w:rPr>
        <w:t xml:space="preserve"> te ulaganja u vjerske objekte), </w:t>
      </w:r>
      <w:r w:rsidRPr="006E0AFE">
        <w:rPr>
          <w:u w:val="single"/>
          <w:lang w:eastAsia="en-US"/>
        </w:rPr>
        <w:t>Izvanredne rashode</w:t>
      </w:r>
      <w:r w:rsidRPr="006E0AFE">
        <w:rPr>
          <w:lang w:eastAsia="en-US"/>
        </w:rPr>
        <w:t xml:space="preserve"> (proračunska zaliha) te </w:t>
      </w:r>
      <w:r w:rsidRPr="006E0AFE">
        <w:rPr>
          <w:u w:val="single"/>
          <w:lang w:eastAsia="en-US"/>
        </w:rPr>
        <w:t>Kapitalne pomoći</w:t>
      </w:r>
      <w:r w:rsidRPr="006E0AFE">
        <w:rPr>
          <w:lang w:eastAsia="en-US"/>
        </w:rPr>
        <w:t xml:space="preserve"> (sufinanciranje projektne prijave društva </w:t>
      </w:r>
      <w:proofErr w:type="spellStart"/>
      <w:r w:rsidRPr="006E0AFE">
        <w:rPr>
          <w:lang w:eastAsia="en-US"/>
        </w:rPr>
        <w:t>Liburnijske</w:t>
      </w:r>
      <w:proofErr w:type="spellEnd"/>
      <w:r w:rsidRPr="006E0AFE">
        <w:rPr>
          <w:lang w:eastAsia="en-US"/>
        </w:rPr>
        <w:t xml:space="preserve"> vode d.o.o. za projekt poboljšanja vodno komunalne infrastrukture te pomoć za otplatu kredita za koji je Općina dala jamstvo, pomoć KD Autotrolej d.o.o za nabavu autobusa iz cijene putne karte što se prikazuje u proračunu istovremeno kao prihod i rashod).</w:t>
      </w:r>
    </w:p>
    <w:p w14:paraId="445F6922" w14:textId="77777777" w:rsidR="00ED705B" w:rsidRPr="006E0AFE" w:rsidRDefault="00ED705B" w:rsidP="00ED705B">
      <w:pPr>
        <w:tabs>
          <w:tab w:val="left" w:pos="709"/>
          <w:tab w:val="right" w:pos="5670"/>
          <w:tab w:val="right" w:pos="7513"/>
        </w:tabs>
        <w:jc w:val="both"/>
        <w:rPr>
          <w:lang w:eastAsia="en-US"/>
        </w:rPr>
      </w:pPr>
      <w:r w:rsidRPr="006E0AFE">
        <w:rPr>
          <w:lang w:eastAsia="en-US"/>
        </w:rPr>
        <w:t xml:space="preserve">Planirana sredstva </w:t>
      </w:r>
      <w:r w:rsidRPr="006E0AFE">
        <w:rPr>
          <w:b/>
          <w:lang w:eastAsia="en-US"/>
        </w:rPr>
        <w:t>u 2021. godini</w:t>
      </w:r>
      <w:r w:rsidRPr="006E0AFE">
        <w:rPr>
          <w:lang w:eastAsia="en-US"/>
        </w:rPr>
        <w:t xml:space="preserve"> su -9,8% niža u odnosu na 2020. godinu prvenstveno jer nisu planirane pomoći društvu </w:t>
      </w:r>
      <w:proofErr w:type="spellStart"/>
      <w:r w:rsidRPr="006E0AFE">
        <w:rPr>
          <w:lang w:eastAsia="en-US"/>
        </w:rPr>
        <w:t>Liburnijske</w:t>
      </w:r>
      <w:proofErr w:type="spellEnd"/>
      <w:r w:rsidRPr="006E0AFE">
        <w:rPr>
          <w:lang w:eastAsia="en-US"/>
        </w:rPr>
        <w:t xml:space="preserve"> vode d.o.o. za pokriće nedostajućeg iznosa naknade za razvoj za financiranje troškova Projekta „Jadran“ te pomoći za sufinanciranje ulaganja u gradnju vodnih građevina.</w:t>
      </w:r>
    </w:p>
    <w:p w14:paraId="1B51286D" w14:textId="77777777" w:rsidR="00ED705B" w:rsidRPr="006E0AFE" w:rsidRDefault="00ED705B" w:rsidP="00ED705B">
      <w:pPr>
        <w:tabs>
          <w:tab w:val="left" w:pos="709"/>
          <w:tab w:val="right" w:pos="5670"/>
          <w:tab w:val="right" w:pos="7513"/>
        </w:tabs>
        <w:jc w:val="both"/>
        <w:rPr>
          <w:lang w:eastAsia="en-US"/>
        </w:rPr>
      </w:pPr>
      <w:r w:rsidRPr="006E0AFE">
        <w:rPr>
          <w:lang w:eastAsia="en-US"/>
        </w:rPr>
        <w:t xml:space="preserve">U </w:t>
      </w:r>
      <w:r w:rsidRPr="006E0AFE">
        <w:rPr>
          <w:b/>
          <w:lang w:eastAsia="en-US"/>
        </w:rPr>
        <w:t>projekcijama za 2022. i 2023. godinu</w:t>
      </w:r>
      <w:r w:rsidRPr="006E0AFE">
        <w:rPr>
          <w:lang w:eastAsia="en-US"/>
        </w:rPr>
        <w:t xml:space="preserve"> planirani iznos za ostale rashode se značajno smanjuje zbog završetka otplate kredita </w:t>
      </w:r>
      <w:proofErr w:type="spellStart"/>
      <w:r w:rsidRPr="006E0AFE">
        <w:rPr>
          <w:lang w:eastAsia="en-US"/>
        </w:rPr>
        <w:t>Liburnijskih</w:t>
      </w:r>
      <w:proofErr w:type="spellEnd"/>
      <w:r w:rsidRPr="006E0AFE">
        <w:rPr>
          <w:lang w:eastAsia="en-US"/>
        </w:rPr>
        <w:t xml:space="preserve"> voda d.o.o.</w:t>
      </w:r>
    </w:p>
    <w:p w14:paraId="1388A6BB" w14:textId="77777777" w:rsidR="00ED705B" w:rsidRPr="006E0AFE" w:rsidRDefault="00ED705B" w:rsidP="00ED705B">
      <w:pPr>
        <w:tabs>
          <w:tab w:val="left" w:pos="709"/>
          <w:tab w:val="right" w:pos="5670"/>
          <w:tab w:val="right" w:pos="7513"/>
        </w:tabs>
        <w:jc w:val="both"/>
        <w:rPr>
          <w:sz w:val="22"/>
          <w:szCs w:val="22"/>
          <w:lang w:eastAsia="en-US"/>
        </w:rPr>
      </w:pPr>
    </w:p>
    <w:p w14:paraId="7C711232" w14:textId="77777777" w:rsidR="00857FD7" w:rsidRPr="006E0AFE" w:rsidRDefault="00857FD7" w:rsidP="00ED705B">
      <w:pPr>
        <w:tabs>
          <w:tab w:val="left" w:pos="709"/>
          <w:tab w:val="right" w:pos="5670"/>
          <w:tab w:val="right" w:pos="7513"/>
        </w:tabs>
        <w:jc w:val="both"/>
        <w:rPr>
          <w:sz w:val="22"/>
          <w:szCs w:val="22"/>
          <w:lang w:eastAsia="en-US"/>
        </w:rPr>
      </w:pPr>
    </w:p>
    <w:p w14:paraId="18D40632" w14:textId="77777777" w:rsidR="00ED705B" w:rsidRPr="006E0AFE" w:rsidRDefault="00ED705B" w:rsidP="00ED705B">
      <w:pPr>
        <w:numPr>
          <w:ilvl w:val="0"/>
          <w:numId w:val="1"/>
        </w:numPr>
        <w:tabs>
          <w:tab w:val="left" w:pos="709"/>
          <w:tab w:val="right" w:pos="5670"/>
          <w:tab w:val="right" w:pos="7513"/>
        </w:tabs>
        <w:jc w:val="both"/>
        <w:rPr>
          <w:i/>
          <w:iCs/>
          <w:u w:val="single"/>
          <w:lang w:eastAsia="en-US"/>
        </w:rPr>
      </w:pPr>
      <w:bookmarkStart w:id="3" w:name="_Hlk24212579"/>
      <w:bookmarkStart w:id="4" w:name="_Hlk529722073"/>
      <w:r w:rsidRPr="006E0AFE">
        <w:rPr>
          <w:b/>
          <w:i/>
          <w:iCs/>
          <w:u w:val="single"/>
          <w:lang w:eastAsia="en-US"/>
        </w:rPr>
        <w:t xml:space="preserve">RASHODI ZA NABAVU NEFINANCIJSKE IMOVINE </w:t>
      </w:r>
    </w:p>
    <w:p w14:paraId="18FE73B9" w14:textId="77777777" w:rsidR="00ED705B" w:rsidRPr="006E0AFE" w:rsidRDefault="00ED705B" w:rsidP="00ED705B">
      <w:pPr>
        <w:tabs>
          <w:tab w:val="left" w:pos="709"/>
          <w:tab w:val="right" w:pos="5670"/>
          <w:tab w:val="right" w:pos="7513"/>
        </w:tabs>
        <w:ind w:left="644"/>
        <w:jc w:val="both"/>
        <w:rPr>
          <w:i/>
          <w:iCs/>
          <w:u w:val="single"/>
          <w:lang w:eastAsia="en-US"/>
        </w:rPr>
      </w:pPr>
    </w:p>
    <w:bookmarkEnd w:id="3"/>
    <w:p w14:paraId="74AA4596" w14:textId="77777777" w:rsidR="00ED705B" w:rsidRPr="006E0AFE" w:rsidRDefault="00ED705B" w:rsidP="00ED705B">
      <w:pPr>
        <w:tabs>
          <w:tab w:val="left" w:pos="709"/>
          <w:tab w:val="right" w:pos="5670"/>
          <w:tab w:val="right" w:pos="7513"/>
        </w:tabs>
        <w:ind w:left="284"/>
        <w:jc w:val="both"/>
        <w:rPr>
          <w:b/>
          <w:lang w:eastAsia="en-US"/>
        </w:rPr>
      </w:pPr>
      <w:r w:rsidRPr="006E0AFE">
        <w:rPr>
          <w:b/>
          <w:lang w:eastAsia="en-US"/>
        </w:rPr>
        <w:t>Rashodi za nabavu dugotrajne imovine sastoje se od:</w:t>
      </w:r>
    </w:p>
    <w:p w14:paraId="433C9356" w14:textId="77777777" w:rsidR="00ED705B" w:rsidRPr="006E0AFE" w:rsidRDefault="00ED705B" w:rsidP="00ED705B">
      <w:pPr>
        <w:numPr>
          <w:ilvl w:val="0"/>
          <w:numId w:val="11"/>
        </w:numPr>
        <w:tabs>
          <w:tab w:val="left" w:pos="709"/>
          <w:tab w:val="right" w:pos="5670"/>
          <w:tab w:val="right" w:pos="7513"/>
        </w:tabs>
        <w:ind w:left="709"/>
        <w:jc w:val="both"/>
        <w:rPr>
          <w:bCs/>
          <w:i/>
          <w:iCs/>
          <w:u w:val="single"/>
          <w:lang w:eastAsia="en-US"/>
        </w:rPr>
      </w:pPr>
      <w:r w:rsidRPr="006E0AFE">
        <w:rPr>
          <w:bCs/>
          <w:lang w:eastAsia="en-US"/>
        </w:rPr>
        <w:t xml:space="preserve">Rashodi za nabavu </w:t>
      </w:r>
      <w:proofErr w:type="spellStart"/>
      <w:r w:rsidRPr="006E0AFE">
        <w:rPr>
          <w:bCs/>
          <w:lang w:eastAsia="en-US"/>
        </w:rPr>
        <w:t>neproizvedene</w:t>
      </w:r>
      <w:proofErr w:type="spellEnd"/>
      <w:r w:rsidRPr="006E0AFE">
        <w:rPr>
          <w:bCs/>
          <w:lang w:eastAsia="en-US"/>
        </w:rPr>
        <w:t xml:space="preserve"> dugotrajne imovine</w:t>
      </w:r>
    </w:p>
    <w:p w14:paraId="05ED3039" w14:textId="77777777" w:rsidR="00ED705B" w:rsidRPr="006E0AFE" w:rsidRDefault="00ED705B" w:rsidP="00ED705B">
      <w:pPr>
        <w:numPr>
          <w:ilvl w:val="0"/>
          <w:numId w:val="11"/>
        </w:numPr>
        <w:tabs>
          <w:tab w:val="left" w:pos="709"/>
          <w:tab w:val="right" w:pos="5670"/>
          <w:tab w:val="right" w:pos="7513"/>
        </w:tabs>
        <w:ind w:left="709"/>
        <w:jc w:val="both"/>
        <w:rPr>
          <w:bCs/>
          <w:i/>
          <w:iCs/>
          <w:u w:val="single"/>
          <w:lang w:eastAsia="en-US"/>
        </w:rPr>
      </w:pPr>
      <w:r w:rsidRPr="006E0AFE">
        <w:rPr>
          <w:bCs/>
          <w:lang w:eastAsia="en-US"/>
        </w:rPr>
        <w:t>Rashodi za nabavu proizvedene dugotrajne imovine.</w:t>
      </w:r>
    </w:p>
    <w:p w14:paraId="775FB659" w14:textId="77777777" w:rsidR="00ED705B" w:rsidRPr="006E0AFE" w:rsidRDefault="00ED705B" w:rsidP="00ED705B">
      <w:pPr>
        <w:tabs>
          <w:tab w:val="left" w:pos="709"/>
          <w:tab w:val="right" w:pos="5670"/>
          <w:tab w:val="right" w:pos="7513"/>
        </w:tabs>
        <w:jc w:val="both"/>
        <w:rPr>
          <w:lang w:eastAsia="en-US"/>
        </w:rPr>
      </w:pPr>
    </w:p>
    <w:p w14:paraId="2DE364A7" w14:textId="77777777" w:rsidR="00ED705B" w:rsidRPr="006E0AFE" w:rsidRDefault="00ED705B" w:rsidP="00ED705B">
      <w:pPr>
        <w:tabs>
          <w:tab w:val="left" w:pos="567"/>
          <w:tab w:val="right" w:pos="5670"/>
          <w:tab w:val="right" w:pos="7513"/>
        </w:tabs>
        <w:jc w:val="both"/>
        <w:rPr>
          <w:lang w:eastAsia="en-US"/>
        </w:rPr>
      </w:pPr>
      <w:r w:rsidRPr="006E0AFE">
        <w:rPr>
          <w:lang w:eastAsia="en-US"/>
        </w:rPr>
        <w:t>Rashodi za nabavu nefinancijske imovine u 2021. godini te 2022. i 2023.godini planirani su kako slijedi:</w:t>
      </w:r>
    </w:p>
    <w:p w14:paraId="079918F0" w14:textId="77777777" w:rsidR="00ED705B" w:rsidRPr="006E0AFE" w:rsidRDefault="00ED705B" w:rsidP="00ED705B">
      <w:pPr>
        <w:tabs>
          <w:tab w:val="left" w:pos="709"/>
          <w:tab w:val="right" w:pos="5670"/>
          <w:tab w:val="right" w:pos="7513"/>
        </w:tabs>
        <w:jc w:val="both"/>
        <w:rPr>
          <w:lang w:eastAsia="en-US"/>
        </w:rPr>
      </w:pPr>
    </w:p>
    <w:tbl>
      <w:tblPr>
        <w:tblW w:w="10490" w:type="dxa"/>
        <w:tblInd w:w="108" w:type="dxa"/>
        <w:tblLayout w:type="fixed"/>
        <w:tblLook w:val="04A0" w:firstRow="1" w:lastRow="0" w:firstColumn="1" w:lastColumn="0" w:noHBand="0" w:noVBand="1"/>
      </w:tblPr>
      <w:tblGrid>
        <w:gridCol w:w="3402"/>
        <w:gridCol w:w="1418"/>
        <w:gridCol w:w="1417"/>
        <w:gridCol w:w="1134"/>
        <w:gridCol w:w="1560"/>
        <w:gridCol w:w="1559"/>
      </w:tblGrid>
      <w:tr w:rsidR="00ED705B" w:rsidRPr="006E0AFE" w14:paraId="6D32C61B" w14:textId="77777777" w:rsidTr="002A1EDD">
        <w:trPr>
          <w:trHeight w:val="276"/>
        </w:trPr>
        <w:tc>
          <w:tcPr>
            <w:tcW w:w="340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5E607E" w14:textId="77777777" w:rsidR="00ED705B" w:rsidRPr="006E0AFE" w:rsidRDefault="00ED705B" w:rsidP="00ED705B">
            <w:pPr>
              <w:jc w:val="center"/>
              <w:rPr>
                <w:b/>
                <w:bCs/>
                <w:sz w:val="22"/>
                <w:szCs w:val="22"/>
              </w:rPr>
            </w:pPr>
            <w:r w:rsidRPr="006E0AFE">
              <w:rPr>
                <w:b/>
                <w:bCs/>
                <w:sz w:val="22"/>
                <w:szCs w:val="22"/>
              </w:rPr>
              <w:t>2. RASHODI ZA NABAVU NEFINANCIJSKE (DUGOTRAJNE) IMOVINE (4)</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AA8892F" w14:textId="77777777" w:rsidR="00ED705B" w:rsidRPr="006E0AFE" w:rsidRDefault="00ED705B" w:rsidP="00ED705B">
            <w:pPr>
              <w:jc w:val="center"/>
              <w:rPr>
                <w:b/>
                <w:bCs/>
                <w:color w:val="000000"/>
                <w:sz w:val="20"/>
                <w:szCs w:val="20"/>
              </w:rPr>
            </w:pPr>
            <w:r w:rsidRPr="006E0AFE">
              <w:rPr>
                <w:b/>
                <w:bCs/>
                <w:color w:val="000000"/>
                <w:sz w:val="20"/>
                <w:szCs w:val="20"/>
              </w:rPr>
              <w:t>PRORAČUN 2020</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EA38785" w14:textId="77777777" w:rsidR="00ED705B" w:rsidRPr="006E0AFE" w:rsidRDefault="00ED705B" w:rsidP="00ED705B">
            <w:pPr>
              <w:jc w:val="center"/>
              <w:rPr>
                <w:b/>
                <w:bCs/>
                <w:color w:val="000000"/>
                <w:sz w:val="20"/>
                <w:szCs w:val="20"/>
              </w:rPr>
            </w:pPr>
            <w:r w:rsidRPr="006E0AFE">
              <w:rPr>
                <w:b/>
                <w:bCs/>
                <w:color w:val="000000"/>
                <w:sz w:val="20"/>
                <w:szCs w:val="20"/>
              </w:rPr>
              <w:t>PRORAČUN 2021</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292E30A" w14:textId="77777777" w:rsidR="00ED705B" w:rsidRPr="006E0AFE" w:rsidRDefault="00ED705B" w:rsidP="00ED705B">
            <w:pPr>
              <w:jc w:val="center"/>
              <w:rPr>
                <w:b/>
                <w:bCs/>
                <w:color w:val="000000"/>
                <w:sz w:val="20"/>
                <w:szCs w:val="20"/>
              </w:rPr>
            </w:pPr>
            <w:r w:rsidRPr="006E0AFE">
              <w:rPr>
                <w:b/>
                <w:bCs/>
                <w:color w:val="000000"/>
                <w:sz w:val="20"/>
                <w:szCs w:val="20"/>
              </w:rPr>
              <w:t>INDEKS 2021/2020</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81CDBCA" w14:textId="77777777" w:rsidR="00ED705B" w:rsidRPr="006E0AFE" w:rsidRDefault="00ED705B" w:rsidP="00ED705B">
            <w:pPr>
              <w:jc w:val="center"/>
              <w:rPr>
                <w:b/>
                <w:bCs/>
                <w:color w:val="000000"/>
                <w:sz w:val="20"/>
                <w:szCs w:val="20"/>
              </w:rPr>
            </w:pPr>
            <w:r w:rsidRPr="006E0AFE">
              <w:rPr>
                <w:b/>
                <w:bCs/>
                <w:color w:val="000000"/>
                <w:sz w:val="20"/>
                <w:szCs w:val="20"/>
              </w:rPr>
              <w:t>PROJEKCIJA 2022</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6289040" w14:textId="77777777" w:rsidR="00ED705B" w:rsidRPr="006E0AFE" w:rsidRDefault="00ED705B" w:rsidP="00ED705B">
            <w:pPr>
              <w:jc w:val="center"/>
              <w:rPr>
                <w:b/>
                <w:bCs/>
                <w:color w:val="000000"/>
                <w:sz w:val="20"/>
                <w:szCs w:val="20"/>
              </w:rPr>
            </w:pPr>
            <w:r w:rsidRPr="006E0AFE">
              <w:rPr>
                <w:b/>
                <w:bCs/>
                <w:color w:val="000000"/>
                <w:sz w:val="20"/>
                <w:szCs w:val="20"/>
              </w:rPr>
              <w:t>PROJEKCIJA 2023</w:t>
            </w:r>
          </w:p>
        </w:tc>
      </w:tr>
      <w:tr w:rsidR="00ED705B" w:rsidRPr="006E0AFE" w14:paraId="20B0A20D" w14:textId="77777777" w:rsidTr="002A1EDD">
        <w:trPr>
          <w:trHeight w:val="705"/>
        </w:trPr>
        <w:tc>
          <w:tcPr>
            <w:tcW w:w="3402" w:type="dxa"/>
            <w:vMerge/>
            <w:tcBorders>
              <w:top w:val="single" w:sz="8" w:space="0" w:color="auto"/>
              <w:left w:val="single" w:sz="8" w:space="0" w:color="auto"/>
              <w:bottom w:val="single" w:sz="8" w:space="0" w:color="000000"/>
              <w:right w:val="single" w:sz="8" w:space="0" w:color="auto"/>
            </w:tcBorders>
            <w:vAlign w:val="center"/>
            <w:hideMark/>
          </w:tcPr>
          <w:p w14:paraId="4FE6F85D" w14:textId="77777777" w:rsidR="00ED705B" w:rsidRPr="006E0AFE" w:rsidRDefault="00ED705B" w:rsidP="00ED705B">
            <w:pPr>
              <w:rPr>
                <w:b/>
                <w:bCs/>
                <w:sz w:val="22"/>
                <w:szCs w:val="22"/>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AD2D9AE" w14:textId="77777777" w:rsidR="00ED705B" w:rsidRPr="006E0AFE" w:rsidRDefault="00ED705B" w:rsidP="00ED705B">
            <w:pPr>
              <w:rPr>
                <w:b/>
                <w:bCs/>
                <w:color w:val="000000"/>
                <w:sz w:val="20"/>
                <w:szCs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35F5D682" w14:textId="77777777" w:rsidR="00ED705B" w:rsidRPr="006E0AFE" w:rsidRDefault="00ED705B" w:rsidP="00ED705B">
            <w:pPr>
              <w:rPr>
                <w:b/>
                <w:bCs/>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3332FB17" w14:textId="77777777" w:rsidR="00ED705B" w:rsidRPr="006E0AFE" w:rsidRDefault="00ED705B" w:rsidP="00ED705B">
            <w:pPr>
              <w:rPr>
                <w:b/>
                <w:bCs/>
                <w:color w:val="000000"/>
                <w:sz w:val="20"/>
                <w:szCs w:val="20"/>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45D76E3B" w14:textId="77777777" w:rsidR="00ED705B" w:rsidRPr="006E0AFE" w:rsidRDefault="00ED705B" w:rsidP="00ED705B">
            <w:pPr>
              <w:rPr>
                <w:b/>
                <w:bCs/>
                <w:color w:val="000000"/>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74ACB535" w14:textId="77777777" w:rsidR="00ED705B" w:rsidRPr="006E0AFE" w:rsidRDefault="00ED705B" w:rsidP="00ED705B">
            <w:pPr>
              <w:rPr>
                <w:b/>
                <w:bCs/>
                <w:color w:val="000000"/>
                <w:sz w:val="20"/>
                <w:szCs w:val="20"/>
              </w:rPr>
            </w:pPr>
          </w:p>
        </w:tc>
      </w:tr>
      <w:tr w:rsidR="00ED705B" w:rsidRPr="006E0AFE" w14:paraId="5097FDFE" w14:textId="77777777" w:rsidTr="002A1EDD">
        <w:trPr>
          <w:trHeight w:val="400"/>
        </w:trPr>
        <w:tc>
          <w:tcPr>
            <w:tcW w:w="3402" w:type="dxa"/>
            <w:tcBorders>
              <w:top w:val="nil"/>
              <w:left w:val="single" w:sz="8" w:space="0" w:color="auto"/>
              <w:bottom w:val="single" w:sz="8" w:space="0" w:color="auto"/>
              <w:right w:val="single" w:sz="8" w:space="0" w:color="auto"/>
            </w:tcBorders>
            <w:shd w:val="clear" w:color="000000" w:fill="C5D9F1"/>
            <w:vAlign w:val="center"/>
            <w:hideMark/>
          </w:tcPr>
          <w:p w14:paraId="33458080" w14:textId="77777777" w:rsidR="00ED705B" w:rsidRPr="006E0AFE" w:rsidRDefault="00ED705B" w:rsidP="00ED705B">
            <w:pPr>
              <w:jc w:val="center"/>
              <w:rPr>
                <w:b/>
                <w:bCs/>
                <w:sz w:val="22"/>
                <w:szCs w:val="22"/>
              </w:rPr>
            </w:pPr>
            <w:r w:rsidRPr="006E0AFE">
              <w:rPr>
                <w:b/>
                <w:bCs/>
                <w:sz w:val="22"/>
                <w:szCs w:val="22"/>
              </w:rPr>
              <w:t xml:space="preserve">UKUPNO </w:t>
            </w:r>
          </w:p>
        </w:tc>
        <w:tc>
          <w:tcPr>
            <w:tcW w:w="1418" w:type="dxa"/>
            <w:tcBorders>
              <w:top w:val="nil"/>
              <w:left w:val="nil"/>
              <w:bottom w:val="single" w:sz="8" w:space="0" w:color="auto"/>
              <w:right w:val="single" w:sz="8" w:space="0" w:color="auto"/>
            </w:tcBorders>
            <w:shd w:val="clear" w:color="000000" w:fill="C5D9F1"/>
            <w:vAlign w:val="center"/>
            <w:hideMark/>
          </w:tcPr>
          <w:p w14:paraId="0C5F75AF" w14:textId="77777777" w:rsidR="00ED705B" w:rsidRPr="006E0AFE" w:rsidRDefault="00ED705B" w:rsidP="00CD5FB2">
            <w:pPr>
              <w:jc w:val="right"/>
              <w:rPr>
                <w:b/>
                <w:bCs/>
              </w:rPr>
            </w:pPr>
            <w:r w:rsidRPr="006E0AFE">
              <w:rPr>
                <w:b/>
                <w:bCs/>
              </w:rPr>
              <w:t>65.954.993</w:t>
            </w:r>
          </w:p>
        </w:tc>
        <w:tc>
          <w:tcPr>
            <w:tcW w:w="1417" w:type="dxa"/>
            <w:tcBorders>
              <w:top w:val="nil"/>
              <w:left w:val="nil"/>
              <w:bottom w:val="single" w:sz="8" w:space="0" w:color="auto"/>
              <w:right w:val="single" w:sz="8" w:space="0" w:color="auto"/>
            </w:tcBorders>
            <w:shd w:val="clear" w:color="000000" w:fill="C5D9F1"/>
            <w:vAlign w:val="center"/>
            <w:hideMark/>
          </w:tcPr>
          <w:p w14:paraId="4532837B" w14:textId="77777777" w:rsidR="00ED705B" w:rsidRPr="006E0AFE" w:rsidRDefault="00ED705B" w:rsidP="00CD5FB2">
            <w:pPr>
              <w:jc w:val="right"/>
              <w:rPr>
                <w:b/>
                <w:bCs/>
              </w:rPr>
            </w:pPr>
            <w:r w:rsidRPr="006E0AFE">
              <w:rPr>
                <w:b/>
                <w:bCs/>
              </w:rPr>
              <w:t>44.531.000</w:t>
            </w:r>
          </w:p>
        </w:tc>
        <w:tc>
          <w:tcPr>
            <w:tcW w:w="1134" w:type="dxa"/>
            <w:tcBorders>
              <w:top w:val="nil"/>
              <w:left w:val="nil"/>
              <w:bottom w:val="single" w:sz="8" w:space="0" w:color="auto"/>
              <w:right w:val="single" w:sz="8" w:space="0" w:color="auto"/>
            </w:tcBorders>
            <w:shd w:val="clear" w:color="000000" w:fill="C5D9F1"/>
            <w:vAlign w:val="center"/>
            <w:hideMark/>
          </w:tcPr>
          <w:p w14:paraId="3DEAD568" w14:textId="77777777" w:rsidR="00ED705B" w:rsidRPr="006E0AFE" w:rsidRDefault="00ED705B" w:rsidP="007A34D5">
            <w:pPr>
              <w:jc w:val="center"/>
              <w:rPr>
                <w:b/>
                <w:bCs/>
                <w:sz w:val="22"/>
                <w:szCs w:val="22"/>
              </w:rPr>
            </w:pPr>
            <w:r w:rsidRPr="006E0AFE">
              <w:rPr>
                <w:b/>
                <w:bCs/>
                <w:sz w:val="22"/>
                <w:szCs w:val="22"/>
              </w:rPr>
              <w:t>67,5</w:t>
            </w:r>
          </w:p>
        </w:tc>
        <w:tc>
          <w:tcPr>
            <w:tcW w:w="1560" w:type="dxa"/>
            <w:tcBorders>
              <w:top w:val="nil"/>
              <w:left w:val="nil"/>
              <w:bottom w:val="single" w:sz="8" w:space="0" w:color="auto"/>
              <w:right w:val="single" w:sz="8" w:space="0" w:color="auto"/>
            </w:tcBorders>
            <w:shd w:val="clear" w:color="000000" w:fill="C5D9F1"/>
            <w:vAlign w:val="center"/>
            <w:hideMark/>
          </w:tcPr>
          <w:p w14:paraId="7509DACF" w14:textId="77777777" w:rsidR="00ED705B" w:rsidRPr="006E0AFE" w:rsidRDefault="00ED705B" w:rsidP="00CD5FB2">
            <w:pPr>
              <w:jc w:val="right"/>
              <w:rPr>
                <w:b/>
                <w:bCs/>
              </w:rPr>
            </w:pPr>
            <w:r w:rsidRPr="006E0AFE">
              <w:rPr>
                <w:b/>
                <w:bCs/>
              </w:rPr>
              <w:t>30.292.000</w:t>
            </w:r>
          </w:p>
        </w:tc>
        <w:tc>
          <w:tcPr>
            <w:tcW w:w="1559" w:type="dxa"/>
            <w:tcBorders>
              <w:top w:val="nil"/>
              <w:left w:val="nil"/>
              <w:bottom w:val="single" w:sz="8" w:space="0" w:color="auto"/>
              <w:right w:val="single" w:sz="8" w:space="0" w:color="auto"/>
            </w:tcBorders>
            <w:shd w:val="clear" w:color="000000" w:fill="C5D9F1"/>
            <w:vAlign w:val="center"/>
            <w:hideMark/>
          </w:tcPr>
          <w:p w14:paraId="161C23D9" w14:textId="77777777" w:rsidR="00ED705B" w:rsidRPr="006E0AFE" w:rsidRDefault="00ED705B" w:rsidP="00CD5FB2">
            <w:pPr>
              <w:jc w:val="right"/>
              <w:rPr>
                <w:b/>
                <w:bCs/>
              </w:rPr>
            </w:pPr>
            <w:r w:rsidRPr="006E0AFE">
              <w:rPr>
                <w:b/>
                <w:bCs/>
              </w:rPr>
              <w:t>31.142.000</w:t>
            </w:r>
          </w:p>
        </w:tc>
      </w:tr>
      <w:tr w:rsidR="00ED705B" w:rsidRPr="006E0AFE" w14:paraId="26616C2F" w14:textId="77777777" w:rsidTr="002A1EDD">
        <w:trPr>
          <w:trHeight w:val="843"/>
        </w:trPr>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71F7E205" w14:textId="77777777" w:rsidR="00ED705B" w:rsidRPr="006E0AFE" w:rsidRDefault="00ED705B" w:rsidP="00ED705B">
            <w:pPr>
              <w:jc w:val="center"/>
              <w:rPr>
                <w:sz w:val="22"/>
                <w:szCs w:val="22"/>
              </w:rPr>
            </w:pPr>
            <w:r w:rsidRPr="006E0AFE">
              <w:rPr>
                <w:sz w:val="22"/>
                <w:szCs w:val="22"/>
              </w:rPr>
              <w:t>2.A. RASHODI ZA NABAVU NEPROIZVEDENE DUGOTRAJNE IMOVINE (41)</w:t>
            </w:r>
          </w:p>
        </w:tc>
        <w:tc>
          <w:tcPr>
            <w:tcW w:w="1418" w:type="dxa"/>
            <w:tcBorders>
              <w:top w:val="nil"/>
              <w:left w:val="nil"/>
              <w:bottom w:val="single" w:sz="8" w:space="0" w:color="auto"/>
              <w:right w:val="single" w:sz="8" w:space="0" w:color="auto"/>
            </w:tcBorders>
            <w:shd w:val="clear" w:color="000000" w:fill="FFFFFF"/>
            <w:vAlign w:val="center"/>
            <w:hideMark/>
          </w:tcPr>
          <w:p w14:paraId="4DA6D778" w14:textId="77777777" w:rsidR="00ED705B" w:rsidRPr="006E0AFE" w:rsidRDefault="00ED705B" w:rsidP="00CD5FB2">
            <w:pPr>
              <w:jc w:val="right"/>
              <w:rPr>
                <w:sz w:val="22"/>
                <w:szCs w:val="22"/>
              </w:rPr>
            </w:pPr>
            <w:r w:rsidRPr="006E0AFE">
              <w:rPr>
                <w:sz w:val="22"/>
                <w:szCs w:val="22"/>
              </w:rPr>
              <w:t>4.977.500</w:t>
            </w:r>
          </w:p>
        </w:tc>
        <w:tc>
          <w:tcPr>
            <w:tcW w:w="1417" w:type="dxa"/>
            <w:tcBorders>
              <w:top w:val="nil"/>
              <w:left w:val="nil"/>
              <w:bottom w:val="single" w:sz="8" w:space="0" w:color="auto"/>
              <w:right w:val="single" w:sz="8" w:space="0" w:color="auto"/>
            </w:tcBorders>
            <w:shd w:val="clear" w:color="000000" w:fill="FFFFFF"/>
            <w:vAlign w:val="center"/>
            <w:hideMark/>
          </w:tcPr>
          <w:p w14:paraId="14A507F7" w14:textId="77777777" w:rsidR="00ED705B" w:rsidRPr="006E0AFE" w:rsidRDefault="00ED705B" w:rsidP="00CD5FB2">
            <w:pPr>
              <w:jc w:val="right"/>
              <w:rPr>
                <w:sz w:val="22"/>
                <w:szCs w:val="22"/>
              </w:rPr>
            </w:pPr>
            <w:r w:rsidRPr="006E0AFE">
              <w:rPr>
                <w:sz w:val="22"/>
                <w:szCs w:val="22"/>
              </w:rPr>
              <w:t>1.987.500</w:t>
            </w:r>
          </w:p>
        </w:tc>
        <w:tc>
          <w:tcPr>
            <w:tcW w:w="1134" w:type="dxa"/>
            <w:tcBorders>
              <w:top w:val="nil"/>
              <w:left w:val="nil"/>
              <w:bottom w:val="single" w:sz="8" w:space="0" w:color="auto"/>
              <w:right w:val="single" w:sz="8" w:space="0" w:color="auto"/>
            </w:tcBorders>
            <w:shd w:val="clear" w:color="000000" w:fill="FFFFFF"/>
            <w:vAlign w:val="center"/>
            <w:hideMark/>
          </w:tcPr>
          <w:p w14:paraId="1A2F3B64" w14:textId="77777777" w:rsidR="00ED705B" w:rsidRPr="006E0AFE" w:rsidRDefault="00ED705B" w:rsidP="007A34D5">
            <w:pPr>
              <w:jc w:val="center"/>
              <w:rPr>
                <w:sz w:val="22"/>
                <w:szCs w:val="22"/>
              </w:rPr>
            </w:pPr>
            <w:r w:rsidRPr="006E0AFE">
              <w:rPr>
                <w:sz w:val="22"/>
                <w:szCs w:val="22"/>
              </w:rPr>
              <w:t>39,9</w:t>
            </w:r>
          </w:p>
        </w:tc>
        <w:tc>
          <w:tcPr>
            <w:tcW w:w="1560" w:type="dxa"/>
            <w:tcBorders>
              <w:top w:val="nil"/>
              <w:left w:val="nil"/>
              <w:bottom w:val="single" w:sz="8" w:space="0" w:color="auto"/>
              <w:right w:val="single" w:sz="8" w:space="0" w:color="auto"/>
            </w:tcBorders>
            <w:shd w:val="clear" w:color="000000" w:fill="FFFFFF"/>
            <w:vAlign w:val="center"/>
            <w:hideMark/>
          </w:tcPr>
          <w:p w14:paraId="210628B2" w14:textId="77777777" w:rsidR="00ED705B" w:rsidRPr="006E0AFE" w:rsidRDefault="00ED705B" w:rsidP="00CD5FB2">
            <w:pPr>
              <w:jc w:val="right"/>
              <w:rPr>
                <w:sz w:val="22"/>
                <w:szCs w:val="22"/>
              </w:rPr>
            </w:pPr>
            <w:r w:rsidRPr="006E0AFE">
              <w:rPr>
                <w:sz w:val="22"/>
                <w:szCs w:val="22"/>
              </w:rPr>
              <w:t>1.307.000</w:t>
            </w:r>
          </w:p>
        </w:tc>
        <w:tc>
          <w:tcPr>
            <w:tcW w:w="1559" w:type="dxa"/>
            <w:tcBorders>
              <w:top w:val="nil"/>
              <w:left w:val="nil"/>
              <w:bottom w:val="single" w:sz="8" w:space="0" w:color="auto"/>
              <w:right w:val="single" w:sz="8" w:space="0" w:color="auto"/>
            </w:tcBorders>
            <w:shd w:val="clear" w:color="000000" w:fill="FFFFFF"/>
            <w:vAlign w:val="center"/>
            <w:hideMark/>
          </w:tcPr>
          <w:p w14:paraId="04540571" w14:textId="77777777" w:rsidR="00ED705B" w:rsidRPr="006E0AFE" w:rsidRDefault="00ED705B" w:rsidP="00CD5FB2">
            <w:pPr>
              <w:jc w:val="right"/>
              <w:rPr>
                <w:sz w:val="22"/>
                <w:szCs w:val="22"/>
              </w:rPr>
            </w:pPr>
            <w:r w:rsidRPr="006E0AFE">
              <w:rPr>
                <w:sz w:val="22"/>
                <w:szCs w:val="22"/>
              </w:rPr>
              <w:t>1.082.000</w:t>
            </w:r>
          </w:p>
        </w:tc>
      </w:tr>
      <w:tr w:rsidR="00ED705B" w:rsidRPr="006E0AFE" w14:paraId="5EEACA4E" w14:textId="77777777" w:rsidTr="002A1EDD">
        <w:trPr>
          <w:trHeight w:val="843"/>
        </w:trPr>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02802065" w14:textId="77777777" w:rsidR="00ED705B" w:rsidRPr="006E0AFE" w:rsidRDefault="00ED705B" w:rsidP="00ED705B">
            <w:pPr>
              <w:jc w:val="center"/>
              <w:rPr>
                <w:sz w:val="22"/>
                <w:szCs w:val="22"/>
              </w:rPr>
            </w:pPr>
            <w:r w:rsidRPr="006E0AFE">
              <w:rPr>
                <w:sz w:val="22"/>
                <w:szCs w:val="22"/>
              </w:rPr>
              <w:t>2.B. RASHODI ZA NABAVU PROIZVEDENE DUGOTRAJNE IMOVINE (42)</w:t>
            </w:r>
          </w:p>
        </w:tc>
        <w:tc>
          <w:tcPr>
            <w:tcW w:w="1418" w:type="dxa"/>
            <w:tcBorders>
              <w:top w:val="nil"/>
              <w:left w:val="nil"/>
              <w:bottom w:val="single" w:sz="8" w:space="0" w:color="auto"/>
              <w:right w:val="single" w:sz="8" w:space="0" w:color="auto"/>
            </w:tcBorders>
            <w:shd w:val="clear" w:color="000000" w:fill="FFFFFF"/>
            <w:vAlign w:val="center"/>
            <w:hideMark/>
          </w:tcPr>
          <w:p w14:paraId="08676397" w14:textId="77777777" w:rsidR="00ED705B" w:rsidRPr="006E0AFE" w:rsidRDefault="00ED705B" w:rsidP="00CD5FB2">
            <w:pPr>
              <w:jc w:val="right"/>
              <w:rPr>
                <w:sz w:val="22"/>
                <w:szCs w:val="22"/>
              </w:rPr>
            </w:pPr>
            <w:r w:rsidRPr="006E0AFE">
              <w:rPr>
                <w:sz w:val="22"/>
                <w:szCs w:val="22"/>
              </w:rPr>
              <w:t>41.157.228</w:t>
            </w:r>
          </w:p>
        </w:tc>
        <w:tc>
          <w:tcPr>
            <w:tcW w:w="1417" w:type="dxa"/>
            <w:tcBorders>
              <w:top w:val="nil"/>
              <w:left w:val="nil"/>
              <w:bottom w:val="single" w:sz="8" w:space="0" w:color="auto"/>
              <w:right w:val="single" w:sz="8" w:space="0" w:color="auto"/>
            </w:tcBorders>
            <w:shd w:val="clear" w:color="000000" w:fill="FFFFFF"/>
            <w:vAlign w:val="center"/>
            <w:hideMark/>
          </w:tcPr>
          <w:p w14:paraId="0164415F" w14:textId="77777777" w:rsidR="00ED705B" w:rsidRPr="006E0AFE" w:rsidRDefault="00ED705B" w:rsidP="00CD5FB2">
            <w:pPr>
              <w:jc w:val="right"/>
              <w:rPr>
                <w:sz w:val="22"/>
                <w:szCs w:val="22"/>
              </w:rPr>
            </w:pPr>
            <w:r w:rsidRPr="006E0AFE">
              <w:rPr>
                <w:sz w:val="22"/>
                <w:szCs w:val="22"/>
              </w:rPr>
              <w:t>33.746.500</w:t>
            </w:r>
          </w:p>
        </w:tc>
        <w:tc>
          <w:tcPr>
            <w:tcW w:w="1134" w:type="dxa"/>
            <w:tcBorders>
              <w:top w:val="nil"/>
              <w:left w:val="nil"/>
              <w:bottom w:val="single" w:sz="8" w:space="0" w:color="auto"/>
              <w:right w:val="single" w:sz="8" w:space="0" w:color="auto"/>
            </w:tcBorders>
            <w:shd w:val="clear" w:color="000000" w:fill="FFFFFF"/>
            <w:vAlign w:val="center"/>
            <w:hideMark/>
          </w:tcPr>
          <w:p w14:paraId="7E2C95BE" w14:textId="77777777" w:rsidR="00ED705B" w:rsidRPr="006E0AFE" w:rsidRDefault="00ED705B" w:rsidP="007A34D5">
            <w:pPr>
              <w:jc w:val="center"/>
              <w:rPr>
                <w:sz w:val="22"/>
                <w:szCs w:val="22"/>
              </w:rPr>
            </w:pPr>
            <w:r w:rsidRPr="006E0AFE">
              <w:rPr>
                <w:sz w:val="22"/>
                <w:szCs w:val="22"/>
              </w:rPr>
              <w:t>82,0</w:t>
            </w:r>
          </w:p>
        </w:tc>
        <w:tc>
          <w:tcPr>
            <w:tcW w:w="1560" w:type="dxa"/>
            <w:tcBorders>
              <w:top w:val="nil"/>
              <w:left w:val="nil"/>
              <w:bottom w:val="single" w:sz="8" w:space="0" w:color="auto"/>
              <w:right w:val="single" w:sz="8" w:space="0" w:color="auto"/>
            </w:tcBorders>
            <w:shd w:val="clear" w:color="000000" w:fill="FFFFFF"/>
            <w:vAlign w:val="center"/>
            <w:hideMark/>
          </w:tcPr>
          <w:p w14:paraId="0F798C79" w14:textId="77777777" w:rsidR="00ED705B" w:rsidRPr="006E0AFE" w:rsidRDefault="00ED705B" w:rsidP="00CD5FB2">
            <w:pPr>
              <w:jc w:val="right"/>
              <w:rPr>
                <w:sz w:val="22"/>
                <w:szCs w:val="22"/>
              </w:rPr>
            </w:pPr>
            <w:r w:rsidRPr="006E0AFE">
              <w:rPr>
                <w:sz w:val="22"/>
                <w:szCs w:val="22"/>
              </w:rPr>
              <w:t>16.825.000</w:t>
            </w:r>
          </w:p>
        </w:tc>
        <w:tc>
          <w:tcPr>
            <w:tcW w:w="1559" w:type="dxa"/>
            <w:tcBorders>
              <w:top w:val="nil"/>
              <w:left w:val="nil"/>
              <w:bottom w:val="single" w:sz="8" w:space="0" w:color="auto"/>
              <w:right w:val="single" w:sz="8" w:space="0" w:color="auto"/>
            </w:tcBorders>
            <w:shd w:val="clear" w:color="000000" w:fill="FFFFFF"/>
            <w:vAlign w:val="center"/>
            <w:hideMark/>
          </w:tcPr>
          <w:p w14:paraId="450EAC0A" w14:textId="77777777" w:rsidR="00ED705B" w:rsidRPr="006E0AFE" w:rsidRDefault="00ED705B" w:rsidP="00CD5FB2">
            <w:pPr>
              <w:jc w:val="right"/>
              <w:rPr>
                <w:sz w:val="22"/>
                <w:szCs w:val="22"/>
              </w:rPr>
            </w:pPr>
            <w:r w:rsidRPr="006E0AFE">
              <w:rPr>
                <w:sz w:val="22"/>
                <w:szCs w:val="22"/>
              </w:rPr>
              <w:t>23.000.000</w:t>
            </w:r>
          </w:p>
        </w:tc>
      </w:tr>
      <w:tr w:rsidR="00ED705B" w:rsidRPr="006E0AFE" w14:paraId="087478CC" w14:textId="77777777" w:rsidTr="002A1EDD">
        <w:trPr>
          <w:trHeight w:val="290"/>
        </w:trPr>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706007E5" w14:textId="77777777" w:rsidR="00ED705B" w:rsidRPr="006E0AFE" w:rsidRDefault="00ED705B" w:rsidP="00ED705B">
            <w:pPr>
              <w:jc w:val="center"/>
              <w:rPr>
                <w:sz w:val="22"/>
                <w:szCs w:val="22"/>
              </w:rPr>
            </w:pPr>
            <w:r w:rsidRPr="006E0AFE">
              <w:rPr>
                <w:sz w:val="22"/>
                <w:szCs w:val="22"/>
              </w:rPr>
              <w:lastRenderedPageBreak/>
              <w:t xml:space="preserve"> - Građevinski objekti (421)</w:t>
            </w:r>
          </w:p>
        </w:tc>
        <w:tc>
          <w:tcPr>
            <w:tcW w:w="1418" w:type="dxa"/>
            <w:tcBorders>
              <w:top w:val="nil"/>
              <w:left w:val="nil"/>
              <w:bottom w:val="single" w:sz="8" w:space="0" w:color="auto"/>
              <w:right w:val="single" w:sz="8" w:space="0" w:color="auto"/>
            </w:tcBorders>
            <w:shd w:val="clear" w:color="000000" w:fill="FFFFFF"/>
            <w:vAlign w:val="center"/>
            <w:hideMark/>
          </w:tcPr>
          <w:p w14:paraId="2F1BDC2C" w14:textId="77777777" w:rsidR="00ED705B" w:rsidRPr="006E0AFE" w:rsidRDefault="00ED705B" w:rsidP="00CD5FB2">
            <w:pPr>
              <w:jc w:val="right"/>
              <w:rPr>
                <w:sz w:val="22"/>
                <w:szCs w:val="22"/>
              </w:rPr>
            </w:pPr>
            <w:r w:rsidRPr="006E0AFE">
              <w:rPr>
                <w:sz w:val="22"/>
                <w:szCs w:val="22"/>
              </w:rPr>
              <w:t>38.853.051</w:t>
            </w:r>
          </w:p>
        </w:tc>
        <w:tc>
          <w:tcPr>
            <w:tcW w:w="1417" w:type="dxa"/>
            <w:tcBorders>
              <w:top w:val="nil"/>
              <w:left w:val="nil"/>
              <w:bottom w:val="single" w:sz="8" w:space="0" w:color="auto"/>
              <w:right w:val="single" w:sz="8" w:space="0" w:color="auto"/>
            </w:tcBorders>
            <w:shd w:val="clear" w:color="000000" w:fill="FFFFFF"/>
            <w:vAlign w:val="center"/>
            <w:hideMark/>
          </w:tcPr>
          <w:p w14:paraId="5ADA40C0" w14:textId="77777777" w:rsidR="00ED705B" w:rsidRPr="006E0AFE" w:rsidRDefault="00ED705B" w:rsidP="00CD5FB2">
            <w:pPr>
              <w:jc w:val="right"/>
              <w:rPr>
                <w:sz w:val="22"/>
                <w:szCs w:val="22"/>
              </w:rPr>
            </w:pPr>
            <w:r w:rsidRPr="006E0AFE">
              <w:rPr>
                <w:sz w:val="22"/>
                <w:szCs w:val="22"/>
              </w:rPr>
              <w:t>33.152.000</w:t>
            </w:r>
          </w:p>
        </w:tc>
        <w:tc>
          <w:tcPr>
            <w:tcW w:w="1134" w:type="dxa"/>
            <w:tcBorders>
              <w:top w:val="nil"/>
              <w:left w:val="nil"/>
              <w:bottom w:val="single" w:sz="8" w:space="0" w:color="auto"/>
              <w:right w:val="single" w:sz="8" w:space="0" w:color="auto"/>
            </w:tcBorders>
            <w:shd w:val="clear" w:color="000000" w:fill="FFFFFF"/>
            <w:vAlign w:val="center"/>
            <w:hideMark/>
          </w:tcPr>
          <w:p w14:paraId="01F2EB82" w14:textId="77777777" w:rsidR="00ED705B" w:rsidRPr="006E0AFE" w:rsidRDefault="00ED705B" w:rsidP="007A34D5">
            <w:pPr>
              <w:jc w:val="center"/>
              <w:rPr>
                <w:sz w:val="22"/>
                <w:szCs w:val="22"/>
              </w:rPr>
            </w:pPr>
            <w:r w:rsidRPr="006E0AFE">
              <w:rPr>
                <w:sz w:val="22"/>
                <w:szCs w:val="22"/>
              </w:rPr>
              <w:t>85,3</w:t>
            </w:r>
          </w:p>
        </w:tc>
        <w:tc>
          <w:tcPr>
            <w:tcW w:w="1560" w:type="dxa"/>
            <w:tcBorders>
              <w:top w:val="nil"/>
              <w:left w:val="nil"/>
              <w:bottom w:val="single" w:sz="8" w:space="0" w:color="auto"/>
              <w:right w:val="single" w:sz="8" w:space="0" w:color="auto"/>
            </w:tcBorders>
            <w:shd w:val="clear" w:color="auto" w:fill="D9D9D9"/>
            <w:vAlign w:val="center"/>
            <w:hideMark/>
          </w:tcPr>
          <w:p w14:paraId="5F4180F7" w14:textId="77777777" w:rsidR="00ED705B" w:rsidRPr="006E0AFE" w:rsidRDefault="00ED705B" w:rsidP="00CD5FB2">
            <w:pPr>
              <w:jc w:val="right"/>
              <w:rPr>
                <w:b/>
                <w:bCs/>
                <w:sz w:val="20"/>
                <w:szCs w:val="20"/>
              </w:rPr>
            </w:pPr>
            <w:r w:rsidRPr="006E0AFE">
              <w:rPr>
                <w:b/>
                <w:bCs/>
                <w:sz w:val="20"/>
                <w:szCs w:val="20"/>
              </w:rPr>
              <w:t> </w:t>
            </w:r>
          </w:p>
        </w:tc>
        <w:tc>
          <w:tcPr>
            <w:tcW w:w="1559" w:type="dxa"/>
            <w:tcBorders>
              <w:top w:val="nil"/>
              <w:left w:val="nil"/>
              <w:bottom w:val="single" w:sz="8" w:space="0" w:color="auto"/>
              <w:right w:val="single" w:sz="8" w:space="0" w:color="auto"/>
            </w:tcBorders>
            <w:shd w:val="clear" w:color="auto" w:fill="D9D9D9"/>
            <w:vAlign w:val="center"/>
            <w:hideMark/>
          </w:tcPr>
          <w:p w14:paraId="6EFD5A0C" w14:textId="77777777" w:rsidR="00ED705B" w:rsidRPr="006E0AFE" w:rsidRDefault="00ED705B" w:rsidP="00CD5FB2">
            <w:pPr>
              <w:jc w:val="right"/>
              <w:rPr>
                <w:b/>
                <w:bCs/>
                <w:sz w:val="20"/>
                <w:szCs w:val="20"/>
              </w:rPr>
            </w:pPr>
            <w:r w:rsidRPr="006E0AFE">
              <w:rPr>
                <w:b/>
                <w:bCs/>
                <w:sz w:val="20"/>
                <w:szCs w:val="20"/>
              </w:rPr>
              <w:t> </w:t>
            </w:r>
          </w:p>
        </w:tc>
      </w:tr>
      <w:tr w:rsidR="00ED705B" w:rsidRPr="006E0AFE" w14:paraId="22CDFF1F" w14:textId="77777777" w:rsidTr="002A1EDD">
        <w:trPr>
          <w:trHeight w:val="290"/>
        </w:trPr>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774AD617" w14:textId="77777777" w:rsidR="00ED705B" w:rsidRPr="006E0AFE" w:rsidRDefault="00ED705B" w:rsidP="00ED705B">
            <w:pPr>
              <w:jc w:val="center"/>
              <w:rPr>
                <w:sz w:val="22"/>
                <w:szCs w:val="22"/>
              </w:rPr>
            </w:pPr>
            <w:r w:rsidRPr="006E0AFE">
              <w:rPr>
                <w:sz w:val="22"/>
                <w:szCs w:val="22"/>
              </w:rPr>
              <w:t xml:space="preserve"> - Postrojenja i oprema (422)</w:t>
            </w:r>
          </w:p>
        </w:tc>
        <w:tc>
          <w:tcPr>
            <w:tcW w:w="1418" w:type="dxa"/>
            <w:tcBorders>
              <w:top w:val="nil"/>
              <w:left w:val="nil"/>
              <w:bottom w:val="single" w:sz="8" w:space="0" w:color="auto"/>
              <w:right w:val="single" w:sz="8" w:space="0" w:color="auto"/>
            </w:tcBorders>
            <w:shd w:val="clear" w:color="000000" w:fill="FFFFFF"/>
            <w:vAlign w:val="center"/>
            <w:hideMark/>
          </w:tcPr>
          <w:p w14:paraId="0D04221A" w14:textId="77777777" w:rsidR="00ED705B" w:rsidRPr="006E0AFE" w:rsidRDefault="00ED705B" w:rsidP="00CD5FB2">
            <w:pPr>
              <w:jc w:val="right"/>
              <w:rPr>
                <w:sz w:val="22"/>
                <w:szCs w:val="22"/>
              </w:rPr>
            </w:pPr>
            <w:r w:rsidRPr="006E0AFE">
              <w:rPr>
                <w:sz w:val="22"/>
                <w:szCs w:val="22"/>
              </w:rPr>
              <w:t>2.293.577</w:t>
            </w:r>
          </w:p>
        </w:tc>
        <w:tc>
          <w:tcPr>
            <w:tcW w:w="1417" w:type="dxa"/>
            <w:tcBorders>
              <w:top w:val="nil"/>
              <w:left w:val="nil"/>
              <w:bottom w:val="single" w:sz="8" w:space="0" w:color="auto"/>
              <w:right w:val="single" w:sz="8" w:space="0" w:color="auto"/>
            </w:tcBorders>
            <w:shd w:val="clear" w:color="000000" w:fill="FFFFFF"/>
            <w:vAlign w:val="center"/>
            <w:hideMark/>
          </w:tcPr>
          <w:p w14:paraId="729CE8BA" w14:textId="77777777" w:rsidR="00ED705B" w:rsidRPr="006E0AFE" w:rsidRDefault="00ED705B" w:rsidP="00CD5FB2">
            <w:pPr>
              <w:jc w:val="right"/>
              <w:rPr>
                <w:sz w:val="22"/>
                <w:szCs w:val="22"/>
              </w:rPr>
            </w:pPr>
            <w:r w:rsidRPr="006E0AFE">
              <w:rPr>
                <w:sz w:val="22"/>
                <w:szCs w:val="22"/>
              </w:rPr>
              <w:t>284.000</w:t>
            </w:r>
          </w:p>
        </w:tc>
        <w:tc>
          <w:tcPr>
            <w:tcW w:w="1134" w:type="dxa"/>
            <w:tcBorders>
              <w:top w:val="nil"/>
              <w:left w:val="nil"/>
              <w:bottom w:val="single" w:sz="8" w:space="0" w:color="auto"/>
              <w:right w:val="single" w:sz="8" w:space="0" w:color="auto"/>
            </w:tcBorders>
            <w:shd w:val="clear" w:color="000000" w:fill="FFFFFF"/>
            <w:vAlign w:val="center"/>
            <w:hideMark/>
          </w:tcPr>
          <w:p w14:paraId="08992B00" w14:textId="77777777" w:rsidR="00ED705B" w:rsidRPr="006E0AFE" w:rsidRDefault="00ED705B" w:rsidP="007A34D5">
            <w:pPr>
              <w:jc w:val="center"/>
              <w:rPr>
                <w:sz w:val="22"/>
                <w:szCs w:val="22"/>
              </w:rPr>
            </w:pPr>
            <w:r w:rsidRPr="006E0AFE">
              <w:rPr>
                <w:sz w:val="22"/>
                <w:szCs w:val="22"/>
              </w:rPr>
              <w:t>12,4</w:t>
            </w:r>
          </w:p>
        </w:tc>
        <w:tc>
          <w:tcPr>
            <w:tcW w:w="1560" w:type="dxa"/>
            <w:tcBorders>
              <w:top w:val="nil"/>
              <w:left w:val="nil"/>
              <w:bottom w:val="single" w:sz="8" w:space="0" w:color="auto"/>
              <w:right w:val="single" w:sz="8" w:space="0" w:color="auto"/>
            </w:tcBorders>
            <w:shd w:val="clear" w:color="auto" w:fill="D9D9D9"/>
            <w:vAlign w:val="center"/>
            <w:hideMark/>
          </w:tcPr>
          <w:p w14:paraId="77134330" w14:textId="77777777" w:rsidR="00ED705B" w:rsidRPr="006E0AFE" w:rsidRDefault="00ED705B" w:rsidP="00CD5FB2">
            <w:pPr>
              <w:jc w:val="right"/>
              <w:rPr>
                <w:b/>
                <w:bCs/>
                <w:sz w:val="20"/>
                <w:szCs w:val="20"/>
              </w:rPr>
            </w:pPr>
            <w:r w:rsidRPr="006E0AFE">
              <w:rPr>
                <w:b/>
                <w:bCs/>
                <w:sz w:val="20"/>
                <w:szCs w:val="20"/>
              </w:rPr>
              <w:t> </w:t>
            </w:r>
          </w:p>
        </w:tc>
        <w:tc>
          <w:tcPr>
            <w:tcW w:w="1559" w:type="dxa"/>
            <w:tcBorders>
              <w:top w:val="nil"/>
              <w:left w:val="nil"/>
              <w:bottom w:val="single" w:sz="8" w:space="0" w:color="auto"/>
              <w:right w:val="single" w:sz="8" w:space="0" w:color="auto"/>
            </w:tcBorders>
            <w:shd w:val="clear" w:color="auto" w:fill="D9D9D9"/>
            <w:vAlign w:val="center"/>
            <w:hideMark/>
          </w:tcPr>
          <w:p w14:paraId="39057E60" w14:textId="77777777" w:rsidR="00ED705B" w:rsidRPr="006E0AFE" w:rsidRDefault="00ED705B" w:rsidP="00CD5FB2">
            <w:pPr>
              <w:jc w:val="right"/>
              <w:rPr>
                <w:b/>
                <w:bCs/>
                <w:sz w:val="20"/>
                <w:szCs w:val="20"/>
              </w:rPr>
            </w:pPr>
            <w:r w:rsidRPr="006E0AFE">
              <w:rPr>
                <w:b/>
                <w:bCs/>
                <w:sz w:val="20"/>
                <w:szCs w:val="20"/>
              </w:rPr>
              <w:t> </w:t>
            </w:r>
          </w:p>
        </w:tc>
      </w:tr>
      <w:tr w:rsidR="00ED705B" w:rsidRPr="006E0AFE" w14:paraId="5F3C731B" w14:textId="77777777" w:rsidTr="002A1EDD">
        <w:trPr>
          <w:trHeight w:val="290"/>
        </w:trPr>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53C0FE5C" w14:textId="77777777" w:rsidR="00ED705B" w:rsidRPr="006E0AFE" w:rsidRDefault="00ED705B" w:rsidP="00ED705B">
            <w:pPr>
              <w:jc w:val="center"/>
              <w:rPr>
                <w:sz w:val="22"/>
                <w:szCs w:val="22"/>
              </w:rPr>
            </w:pPr>
            <w:r w:rsidRPr="006E0AFE">
              <w:rPr>
                <w:sz w:val="22"/>
                <w:szCs w:val="22"/>
              </w:rPr>
              <w:t xml:space="preserve"> - Prijevozna sredstva (423)</w:t>
            </w:r>
          </w:p>
        </w:tc>
        <w:tc>
          <w:tcPr>
            <w:tcW w:w="1418" w:type="dxa"/>
            <w:tcBorders>
              <w:top w:val="nil"/>
              <w:left w:val="nil"/>
              <w:bottom w:val="single" w:sz="8" w:space="0" w:color="auto"/>
              <w:right w:val="single" w:sz="8" w:space="0" w:color="auto"/>
            </w:tcBorders>
            <w:shd w:val="clear" w:color="000000" w:fill="FFFFFF"/>
            <w:vAlign w:val="center"/>
            <w:hideMark/>
          </w:tcPr>
          <w:p w14:paraId="2DEAEECF" w14:textId="77777777" w:rsidR="00ED705B" w:rsidRPr="006E0AFE" w:rsidRDefault="00ED705B" w:rsidP="00CD5FB2">
            <w:pPr>
              <w:jc w:val="right"/>
              <w:rPr>
                <w:sz w:val="22"/>
                <w:szCs w:val="22"/>
              </w:rPr>
            </w:pPr>
            <w:r w:rsidRPr="006E0AFE">
              <w:rPr>
                <w:sz w:val="22"/>
                <w:szCs w:val="22"/>
              </w:rPr>
              <w:t>0</w:t>
            </w:r>
          </w:p>
        </w:tc>
        <w:tc>
          <w:tcPr>
            <w:tcW w:w="1417" w:type="dxa"/>
            <w:tcBorders>
              <w:top w:val="nil"/>
              <w:left w:val="nil"/>
              <w:bottom w:val="single" w:sz="8" w:space="0" w:color="auto"/>
              <w:right w:val="single" w:sz="8" w:space="0" w:color="auto"/>
            </w:tcBorders>
            <w:shd w:val="clear" w:color="000000" w:fill="FFFFFF"/>
            <w:vAlign w:val="center"/>
            <w:hideMark/>
          </w:tcPr>
          <w:p w14:paraId="28D83771" w14:textId="77777777" w:rsidR="00ED705B" w:rsidRPr="006E0AFE" w:rsidRDefault="00ED705B" w:rsidP="00CD5FB2">
            <w:pPr>
              <w:jc w:val="right"/>
              <w:rPr>
                <w:sz w:val="22"/>
                <w:szCs w:val="22"/>
              </w:rPr>
            </w:pPr>
            <w:r w:rsidRPr="006E0AFE">
              <w:rPr>
                <w:sz w:val="22"/>
                <w:szCs w:val="22"/>
              </w:rPr>
              <w:t>305.500</w:t>
            </w:r>
          </w:p>
        </w:tc>
        <w:tc>
          <w:tcPr>
            <w:tcW w:w="1134" w:type="dxa"/>
            <w:tcBorders>
              <w:top w:val="nil"/>
              <w:left w:val="nil"/>
              <w:bottom w:val="single" w:sz="8" w:space="0" w:color="auto"/>
              <w:right w:val="single" w:sz="8" w:space="0" w:color="auto"/>
            </w:tcBorders>
            <w:shd w:val="clear" w:color="000000" w:fill="FFFFFF"/>
            <w:vAlign w:val="center"/>
            <w:hideMark/>
          </w:tcPr>
          <w:p w14:paraId="09D3C564" w14:textId="77777777" w:rsidR="00ED705B" w:rsidRPr="006E0AFE" w:rsidRDefault="00ED705B" w:rsidP="007A34D5">
            <w:pPr>
              <w:jc w:val="center"/>
              <w:rPr>
                <w:sz w:val="22"/>
                <w:szCs w:val="22"/>
              </w:rPr>
            </w:pPr>
          </w:p>
        </w:tc>
        <w:tc>
          <w:tcPr>
            <w:tcW w:w="1560" w:type="dxa"/>
            <w:tcBorders>
              <w:top w:val="nil"/>
              <w:left w:val="nil"/>
              <w:bottom w:val="single" w:sz="8" w:space="0" w:color="auto"/>
              <w:right w:val="single" w:sz="8" w:space="0" w:color="auto"/>
            </w:tcBorders>
            <w:shd w:val="clear" w:color="auto" w:fill="D9D9D9"/>
            <w:vAlign w:val="center"/>
            <w:hideMark/>
          </w:tcPr>
          <w:p w14:paraId="1C4850EA" w14:textId="77777777" w:rsidR="00ED705B" w:rsidRPr="006E0AFE" w:rsidRDefault="00ED705B" w:rsidP="00CD5FB2">
            <w:pPr>
              <w:jc w:val="right"/>
              <w:rPr>
                <w:b/>
                <w:bCs/>
                <w:sz w:val="20"/>
                <w:szCs w:val="20"/>
              </w:rPr>
            </w:pPr>
            <w:r w:rsidRPr="006E0AFE">
              <w:rPr>
                <w:b/>
                <w:bCs/>
                <w:sz w:val="20"/>
                <w:szCs w:val="20"/>
              </w:rPr>
              <w:t> </w:t>
            </w:r>
          </w:p>
        </w:tc>
        <w:tc>
          <w:tcPr>
            <w:tcW w:w="1559" w:type="dxa"/>
            <w:tcBorders>
              <w:top w:val="nil"/>
              <w:left w:val="nil"/>
              <w:bottom w:val="single" w:sz="8" w:space="0" w:color="auto"/>
              <w:right w:val="single" w:sz="8" w:space="0" w:color="auto"/>
            </w:tcBorders>
            <w:shd w:val="clear" w:color="auto" w:fill="D9D9D9"/>
            <w:vAlign w:val="center"/>
            <w:hideMark/>
          </w:tcPr>
          <w:p w14:paraId="1D54F4B5" w14:textId="77777777" w:rsidR="00ED705B" w:rsidRPr="006E0AFE" w:rsidRDefault="00ED705B" w:rsidP="00CD5FB2">
            <w:pPr>
              <w:jc w:val="right"/>
              <w:rPr>
                <w:b/>
                <w:bCs/>
                <w:sz w:val="20"/>
                <w:szCs w:val="20"/>
              </w:rPr>
            </w:pPr>
            <w:r w:rsidRPr="006E0AFE">
              <w:rPr>
                <w:b/>
                <w:bCs/>
                <w:sz w:val="20"/>
                <w:szCs w:val="20"/>
              </w:rPr>
              <w:t> </w:t>
            </w:r>
          </w:p>
        </w:tc>
      </w:tr>
      <w:tr w:rsidR="00ED705B" w:rsidRPr="006E0AFE" w14:paraId="42D3037A" w14:textId="77777777" w:rsidTr="002A1EDD">
        <w:trPr>
          <w:trHeight w:val="566"/>
        </w:trPr>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2D18CB38" w14:textId="77777777" w:rsidR="00ED705B" w:rsidRPr="006E0AFE" w:rsidRDefault="00ED705B" w:rsidP="00ED705B">
            <w:pPr>
              <w:jc w:val="center"/>
              <w:rPr>
                <w:sz w:val="22"/>
                <w:szCs w:val="22"/>
              </w:rPr>
            </w:pPr>
            <w:r w:rsidRPr="006E0AFE">
              <w:rPr>
                <w:sz w:val="22"/>
                <w:szCs w:val="22"/>
              </w:rPr>
              <w:t xml:space="preserve"> - Nematerijalna proizvedena imovina (426)</w:t>
            </w:r>
          </w:p>
        </w:tc>
        <w:tc>
          <w:tcPr>
            <w:tcW w:w="1418" w:type="dxa"/>
            <w:tcBorders>
              <w:top w:val="nil"/>
              <w:left w:val="nil"/>
              <w:bottom w:val="single" w:sz="8" w:space="0" w:color="auto"/>
              <w:right w:val="single" w:sz="8" w:space="0" w:color="auto"/>
            </w:tcBorders>
            <w:shd w:val="clear" w:color="000000" w:fill="FFFFFF"/>
            <w:vAlign w:val="center"/>
            <w:hideMark/>
          </w:tcPr>
          <w:p w14:paraId="2B38F937" w14:textId="77777777" w:rsidR="00ED705B" w:rsidRPr="006E0AFE" w:rsidRDefault="00ED705B" w:rsidP="00CD5FB2">
            <w:pPr>
              <w:jc w:val="right"/>
              <w:rPr>
                <w:sz w:val="22"/>
                <w:szCs w:val="22"/>
              </w:rPr>
            </w:pPr>
            <w:r w:rsidRPr="006E0AFE">
              <w:rPr>
                <w:sz w:val="22"/>
                <w:szCs w:val="22"/>
              </w:rPr>
              <w:t>10.600</w:t>
            </w:r>
          </w:p>
        </w:tc>
        <w:tc>
          <w:tcPr>
            <w:tcW w:w="1417" w:type="dxa"/>
            <w:tcBorders>
              <w:top w:val="nil"/>
              <w:left w:val="nil"/>
              <w:bottom w:val="single" w:sz="8" w:space="0" w:color="auto"/>
              <w:right w:val="single" w:sz="8" w:space="0" w:color="auto"/>
            </w:tcBorders>
            <w:shd w:val="clear" w:color="000000" w:fill="FFFFFF"/>
            <w:vAlign w:val="center"/>
            <w:hideMark/>
          </w:tcPr>
          <w:p w14:paraId="43BD6C9A" w14:textId="77777777" w:rsidR="00ED705B" w:rsidRPr="006E0AFE" w:rsidRDefault="00ED705B" w:rsidP="00CD5FB2">
            <w:pPr>
              <w:jc w:val="right"/>
              <w:rPr>
                <w:sz w:val="22"/>
                <w:szCs w:val="22"/>
              </w:rPr>
            </w:pPr>
            <w:r w:rsidRPr="006E0AFE">
              <w:rPr>
                <w:sz w:val="22"/>
                <w:szCs w:val="22"/>
              </w:rPr>
              <w:t>5.000</w:t>
            </w:r>
          </w:p>
        </w:tc>
        <w:tc>
          <w:tcPr>
            <w:tcW w:w="1134" w:type="dxa"/>
            <w:tcBorders>
              <w:top w:val="nil"/>
              <w:left w:val="nil"/>
              <w:bottom w:val="single" w:sz="8" w:space="0" w:color="auto"/>
              <w:right w:val="single" w:sz="8" w:space="0" w:color="auto"/>
            </w:tcBorders>
            <w:shd w:val="clear" w:color="000000" w:fill="FFFFFF"/>
            <w:vAlign w:val="center"/>
            <w:hideMark/>
          </w:tcPr>
          <w:p w14:paraId="54FC1D92" w14:textId="77777777" w:rsidR="00ED705B" w:rsidRPr="006E0AFE" w:rsidRDefault="00ED705B" w:rsidP="007A34D5">
            <w:pPr>
              <w:jc w:val="center"/>
              <w:rPr>
                <w:sz w:val="22"/>
                <w:szCs w:val="22"/>
              </w:rPr>
            </w:pPr>
            <w:r w:rsidRPr="006E0AFE">
              <w:rPr>
                <w:sz w:val="22"/>
                <w:szCs w:val="22"/>
              </w:rPr>
              <w:t>47,2</w:t>
            </w:r>
          </w:p>
        </w:tc>
        <w:tc>
          <w:tcPr>
            <w:tcW w:w="1560" w:type="dxa"/>
            <w:tcBorders>
              <w:top w:val="nil"/>
              <w:left w:val="nil"/>
              <w:bottom w:val="single" w:sz="8" w:space="0" w:color="auto"/>
              <w:right w:val="single" w:sz="8" w:space="0" w:color="auto"/>
            </w:tcBorders>
            <w:shd w:val="clear" w:color="auto" w:fill="D9D9D9"/>
            <w:vAlign w:val="center"/>
            <w:hideMark/>
          </w:tcPr>
          <w:p w14:paraId="67074AC5" w14:textId="77777777" w:rsidR="00ED705B" w:rsidRPr="006E0AFE" w:rsidRDefault="00ED705B" w:rsidP="00CD5FB2">
            <w:pPr>
              <w:jc w:val="right"/>
              <w:rPr>
                <w:b/>
                <w:bCs/>
                <w:sz w:val="20"/>
                <w:szCs w:val="20"/>
              </w:rPr>
            </w:pPr>
            <w:r w:rsidRPr="006E0AFE">
              <w:rPr>
                <w:b/>
                <w:bCs/>
                <w:sz w:val="20"/>
                <w:szCs w:val="20"/>
              </w:rPr>
              <w:t> </w:t>
            </w:r>
          </w:p>
        </w:tc>
        <w:tc>
          <w:tcPr>
            <w:tcW w:w="1559" w:type="dxa"/>
            <w:tcBorders>
              <w:top w:val="nil"/>
              <w:left w:val="nil"/>
              <w:bottom w:val="single" w:sz="8" w:space="0" w:color="auto"/>
              <w:right w:val="single" w:sz="8" w:space="0" w:color="auto"/>
            </w:tcBorders>
            <w:shd w:val="clear" w:color="auto" w:fill="D9D9D9"/>
            <w:vAlign w:val="center"/>
            <w:hideMark/>
          </w:tcPr>
          <w:p w14:paraId="1DCC5484" w14:textId="77777777" w:rsidR="00ED705B" w:rsidRPr="006E0AFE" w:rsidRDefault="00ED705B" w:rsidP="00CD5FB2">
            <w:pPr>
              <w:jc w:val="right"/>
              <w:rPr>
                <w:b/>
                <w:bCs/>
                <w:sz w:val="20"/>
                <w:szCs w:val="20"/>
              </w:rPr>
            </w:pPr>
            <w:r w:rsidRPr="006E0AFE">
              <w:rPr>
                <w:b/>
                <w:bCs/>
                <w:sz w:val="20"/>
                <w:szCs w:val="20"/>
              </w:rPr>
              <w:t> </w:t>
            </w:r>
          </w:p>
        </w:tc>
      </w:tr>
      <w:tr w:rsidR="00ED705B" w:rsidRPr="006E0AFE" w14:paraId="1C608D5B" w14:textId="77777777" w:rsidTr="002A1EDD">
        <w:trPr>
          <w:trHeight w:val="1019"/>
        </w:trPr>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343929A6" w14:textId="77777777" w:rsidR="00ED705B" w:rsidRPr="006E0AFE" w:rsidRDefault="00ED705B" w:rsidP="00ED705B">
            <w:pPr>
              <w:jc w:val="center"/>
              <w:rPr>
                <w:sz w:val="22"/>
                <w:szCs w:val="22"/>
              </w:rPr>
            </w:pPr>
            <w:r w:rsidRPr="006E0AFE">
              <w:rPr>
                <w:sz w:val="22"/>
                <w:szCs w:val="22"/>
              </w:rPr>
              <w:t>2.C. RASHODI ZA DODATNA ULAGANJA NA NEFINANCIJSKOJ IMOVINI (45)</w:t>
            </w:r>
          </w:p>
        </w:tc>
        <w:tc>
          <w:tcPr>
            <w:tcW w:w="1418" w:type="dxa"/>
            <w:tcBorders>
              <w:top w:val="nil"/>
              <w:left w:val="nil"/>
              <w:bottom w:val="single" w:sz="8" w:space="0" w:color="auto"/>
              <w:right w:val="single" w:sz="8" w:space="0" w:color="auto"/>
            </w:tcBorders>
            <w:shd w:val="clear" w:color="000000" w:fill="FFFFFF"/>
            <w:vAlign w:val="center"/>
            <w:hideMark/>
          </w:tcPr>
          <w:p w14:paraId="0FFFA657" w14:textId="77777777" w:rsidR="00ED705B" w:rsidRPr="006E0AFE" w:rsidRDefault="00ED705B" w:rsidP="00CD5FB2">
            <w:pPr>
              <w:jc w:val="right"/>
              <w:rPr>
                <w:sz w:val="22"/>
                <w:szCs w:val="22"/>
              </w:rPr>
            </w:pPr>
            <w:r w:rsidRPr="006E0AFE">
              <w:rPr>
                <w:sz w:val="22"/>
                <w:szCs w:val="22"/>
              </w:rPr>
              <w:t>19.820.265</w:t>
            </w:r>
          </w:p>
        </w:tc>
        <w:tc>
          <w:tcPr>
            <w:tcW w:w="1417" w:type="dxa"/>
            <w:tcBorders>
              <w:top w:val="nil"/>
              <w:left w:val="nil"/>
              <w:bottom w:val="single" w:sz="8" w:space="0" w:color="auto"/>
              <w:right w:val="single" w:sz="8" w:space="0" w:color="auto"/>
            </w:tcBorders>
            <w:shd w:val="clear" w:color="000000" w:fill="FFFFFF"/>
            <w:vAlign w:val="center"/>
            <w:hideMark/>
          </w:tcPr>
          <w:p w14:paraId="5D9D13B2" w14:textId="77777777" w:rsidR="00ED705B" w:rsidRPr="006E0AFE" w:rsidRDefault="00ED705B" w:rsidP="00CD5FB2">
            <w:pPr>
              <w:jc w:val="right"/>
              <w:rPr>
                <w:sz w:val="22"/>
                <w:szCs w:val="22"/>
              </w:rPr>
            </w:pPr>
            <w:r w:rsidRPr="006E0AFE">
              <w:rPr>
                <w:sz w:val="22"/>
                <w:szCs w:val="22"/>
              </w:rPr>
              <w:t>8.797.000</w:t>
            </w:r>
          </w:p>
        </w:tc>
        <w:tc>
          <w:tcPr>
            <w:tcW w:w="1134" w:type="dxa"/>
            <w:tcBorders>
              <w:top w:val="nil"/>
              <w:left w:val="nil"/>
              <w:bottom w:val="single" w:sz="8" w:space="0" w:color="auto"/>
              <w:right w:val="single" w:sz="8" w:space="0" w:color="auto"/>
            </w:tcBorders>
            <w:shd w:val="clear" w:color="000000" w:fill="FFFFFF"/>
            <w:vAlign w:val="center"/>
            <w:hideMark/>
          </w:tcPr>
          <w:p w14:paraId="6E09876D" w14:textId="77777777" w:rsidR="00ED705B" w:rsidRPr="006E0AFE" w:rsidRDefault="00ED705B" w:rsidP="007A34D5">
            <w:pPr>
              <w:jc w:val="center"/>
              <w:rPr>
                <w:sz w:val="22"/>
                <w:szCs w:val="22"/>
              </w:rPr>
            </w:pPr>
            <w:r w:rsidRPr="006E0AFE">
              <w:rPr>
                <w:sz w:val="22"/>
                <w:szCs w:val="22"/>
              </w:rPr>
              <w:t>44,4</w:t>
            </w:r>
          </w:p>
        </w:tc>
        <w:tc>
          <w:tcPr>
            <w:tcW w:w="1560" w:type="dxa"/>
            <w:tcBorders>
              <w:top w:val="nil"/>
              <w:left w:val="nil"/>
              <w:bottom w:val="single" w:sz="8" w:space="0" w:color="auto"/>
              <w:right w:val="single" w:sz="8" w:space="0" w:color="auto"/>
            </w:tcBorders>
            <w:shd w:val="clear" w:color="000000" w:fill="FFFFFF"/>
            <w:vAlign w:val="center"/>
            <w:hideMark/>
          </w:tcPr>
          <w:p w14:paraId="7E9D52C9" w14:textId="77777777" w:rsidR="00ED705B" w:rsidRPr="006E0AFE" w:rsidRDefault="00ED705B" w:rsidP="00CD5FB2">
            <w:pPr>
              <w:jc w:val="right"/>
              <w:rPr>
                <w:sz w:val="22"/>
                <w:szCs w:val="22"/>
              </w:rPr>
            </w:pPr>
            <w:r w:rsidRPr="006E0AFE">
              <w:rPr>
                <w:sz w:val="22"/>
                <w:szCs w:val="22"/>
              </w:rPr>
              <w:t>12.160.000</w:t>
            </w:r>
          </w:p>
        </w:tc>
        <w:tc>
          <w:tcPr>
            <w:tcW w:w="1559" w:type="dxa"/>
            <w:tcBorders>
              <w:top w:val="nil"/>
              <w:left w:val="nil"/>
              <w:bottom w:val="single" w:sz="8" w:space="0" w:color="auto"/>
              <w:right w:val="single" w:sz="8" w:space="0" w:color="auto"/>
            </w:tcBorders>
            <w:shd w:val="clear" w:color="000000" w:fill="FFFFFF"/>
            <w:vAlign w:val="center"/>
            <w:hideMark/>
          </w:tcPr>
          <w:p w14:paraId="747DE253" w14:textId="77777777" w:rsidR="00ED705B" w:rsidRPr="006E0AFE" w:rsidRDefault="00ED705B" w:rsidP="00CD5FB2">
            <w:pPr>
              <w:jc w:val="right"/>
              <w:rPr>
                <w:sz w:val="22"/>
                <w:szCs w:val="22"/>
              </w:rPr>
            </w:pPr>
            <w:r w:rsidRPr="006E0AFE">
              <w:rPr>
                <w:sz w:val="22"/>
                <w:szCs w:val="22"/>
              </w:rPr>
              <w:t>7.060.000</w:t>
            </w:r>
          </w:p>
        </w:tc>
      </w:tr>
    </w:tbl>
    <w:p w14:paraId="3F1B91A2" w14:textId="77777777" w:rsidR="00ED705B" w:rsidRPr="006E0AFE" w:rsidRDefault="00ED705B" w:rsidP="00ED705B">
      <w:pPr>
        <w:tabs>
          <w:tab w:val="left" w:pos="709"/>
          <w:tab w:val="right" w:pos="5670"/>
          <w:tab w:val="right" w:pos="7513"/>
        </w:tabs>
        <w:jc w:val="both"/>
        <w:rPr>
          <w:lang w:eastAsia="en-US"/>
        </w:rPr>
      </w:pPr>
    </w:p>
    <w:p w14:paraId="1FAEC8D3" w14:textId="77777777" w:rsidR="00857FD7" w:rsidRPr="006E0AFE" w:rsidRDefault="00ED705B" w:rsidP="00857FD7">
      <w:pPr>
        <w:jc w:val="both"/>
        <w:rPr>
          <w:lang w:eastAsia="en-US"/>
        </w:rPr>
      </w:pPr>
      <w:r w:rsidRPr="006E0AFE">
        <w:rPr>
          <w:b/>
          <w:bCs/>
          <w:u w:val="single"/>
          <w:lang w:eastAsia="en-US"/>
        </w:rPr>
        <w:t xml:space="preserve">2.A. Rashodi za nabavu </w:t>
      </w:r>
      <w:proofErr w:type="spellStart"/>
      <w:r w:rsidRPr="006E0AFE">
        <w:rPr>
          <w:b/>
          <w:bCs/>
          <w:u w:val="single"/>
          <w:lang w:eastAsia="en-US"/>
        </w:rPr>
        <w:t>neproizvedene</w:t>
      </w:r>
      <w:proofErr w:type="spellEnd"/>
      <w:r w:rsidRPr="006E0AFE">
        <w:rPr>
          <w:b/>
          <w:bCs/>
          <w:u w:val="single"/>
          <w:lang w:eastAsia="en-US"/>
        </w:rPr>
        <w:t xml:space="preserve"> dugotrajne imovine (41)</w:t>
      </w:r>
      <w:r w:rsidRPr="006E0AFE">
        <w:rPr>
          <w:lang w:eastAsia="en-US"/>
        </w:rPr>
        <w:t xml:space="preserve"> </w:t>
      </w:r>
      <w:r w:rsidRPr="007A34D5">
        <w:rPr>
          <w:b/>
          <w:lang w:eastAsia="en-US"/>
        </w:rPr>
        <w:t>u 2021. godini</w:t>
      </w:r>
      <w:r w:rsidRPr="006E0AFE">
        <w:rPr>
          <w:lang w:eastAsia="en-US"/>
        </w:rPr>
        <w:t xml:space="preserve"> obuhvaćaju planirana sredstva za otkup zemljišta za RZ </w:t>
      </w:r>
      <w:proofErr w:type="spellStart"/>
      <w:r w:rsidRPr="006E0AFE">
        <w:rPr>
          <w:lang w:eastAsia="en-US"/>
        </w:rPr>
        <w:t>Miklavija</w:t>
      </w:r>
      <w:proofErr w:type="spellEnd"/>
      <w:r w:rsidRPr="006E0AFE">
        <w:rPr>
          <w:lang w:eastAsia="en-US"/>
        </w:rPr>
        <w:t xml:space="preserve"> (1.000.000 kn), kao i ostala zemljišta (300.000 kn) koja je potrebno otkupiti radi izgradnje objekata komunalne infrastrukture, ali i za druge namjene sukladno potrebama Općine. Također, ova skupina obuhvaća i rashode za ostalu nematerijalnu imovinu u iznosu od 687.500 kn, a što se odnosi na izradu prostorno-planske dokumentacije</w:t>
      </w:r>
      <w:r w:rsidR="00857FD7" w:rsidRPr="006E0AFE">
        <w:rPr>
          <w:lang w:eastAsia="en-US"/>
        </w:rPr>
        <w:t xml:space="preserve"> - </w:t>
      </w:r>
      <w:r w:rsidRPr="006E0AFE">
        <w:rPr>
          <w:lang w:eastAsia="en-US"/>
        </w:rPr>
        <w:t xml:space="preserve"> </w:t>
      </w:r>
      <w:r w:rsidR="00857FD7" w:rsidRPr="006E0AFE">
        <w:rPr>
          <w:lang w:eastAsia="en-US"/>
        </w:rPr>
        <w:t xml:space="preserve">V. izmjene i dopune Prostornog plana uređenja Matulji, III. izmjene i dopune Urbanističkog plana uređenja 1 Matulji, izmjene i dopune UPU RZ 12 </w:t>
      </w:r>
      <w:proofErr w:type="spellStart"/>
      <w:r w:rsidR="00857FD7" w:rsidRPr="006E0AFE">
        <w:rPr>
          <w:lang w:eastAsia="en-US"/>
        </w:rPr>
        <w:t>Miklavija</w:t>
      </w:r>
      <w:proofErr w:type="spellEnd"/>
      <w:r w:rsidR="00857FD7" w:rsidRPr="006E0AFE">
        <w:rPr>
          <w:lang w:eastAsia="en-US"/>
        </w:rPr>
        <w:t xml:space="preserve"> te izmjene i dopune DPU R1 -</w:t>
      </w:r>
      <w:r w:rsidR="00857FD7" w:rsidRPr="006E0AFE">
        <w:rPr>
          <w:color w:val="FF0000"/>
          <w:lang w:eastAsia="en-US"/>
        </w:rPr>
        <w:t xml:space="preserve"> </w:t>
      </w:r>
      <w:r w:rsidRPr="006E0AFE">
        <w:rPr>
          <w:lang w:eastAsia="en-US"/>
        </w:rPr>
        <w:t xml:space="preserve">(587.500 kn) te </w:t>
      </w:r>
      <w:r w:rsidR="00857FD7" w:rsidRPr="006E0AFE">
        <w:rPr>
          <w:lang w:eastAsia="en-US"/>
        </w:rPr>
        <w:t xml:space="preserve">izradu </w:t>
      </w:r>
      <w:r w:rsidRPr="006E0AFE">
        <w:rPr>
          <w:lang w:eastAsia="en-US"/>
        </w:rPr>
        <w:t xml:space="preserve">projektne dokumentacije za prijavu na EU i ostale fondove (100.000 kn). U odnosu na 2020. godinu rashodi za nabavu </w:t>
      </w:r>
      <w:proofErr w:type="spellStart"/>
      <w:r w:rsidRPr="006E0AFE">
        <w:rPr>
          <w:lang w:eastAsia="en-US"/>
        </w:rPr>
        <w:t>neproizvedene</w:t>
      </w:r>
      <w:proofErr w:type="spellEnd"/>
      <w:r w:rsidRPr="006E0AFE">
        <w:rPr>
          <w:lang w:eastAsia="en-US"/>
        </w:rPr>
        <w:t xml:space="preserve"> dugotrajne imovine smanjeni su za -60,1% prvenstveno iz razloga što je </w:t>
      </w:r>
      <w:r w:rsidR="00857FD7" w:rsidRPr="006E0AFE">
        <w:rPr>
          <w:lang w:eastAsia="en-US"/>
        </w:rPr>
        <w:t xml:space="preserve">u 2020. godini </w:t>
      </w:r>
      <w:r w:rsidRPr="006E0AFE">
        <w:rPr>
          <w:lang w:eastAsia="en-US"/>
        </w:rPr>
        <w:t xml:space="preserve">bio planiran veći iznos za otkup zemljišta za RZ </w:t>
      </w:r>
      <w:proofErr w:type="spellStart"/>
      <w:r w:rsidRPr="006E0AFE">
        <w:rPr>
          <w:lang w:eastAsia="en-US"/>
        </w:rPr>
        <w:t>Miklavija</w:t>
      </w:r>
      <w:proofErr w:type="spellEnd"/>
      <w:r w:rsidRPr="006E0AFE">
        <w:rPr>
          <w:lang w:eastAsia="en-US"/>
        </w:rPr>
        <w:t xml:space="preserve"> te rashoda za izradu urbanističkog i prostornih planova. </w:t>
      </w:r>
      <w:r w:rsidRPr="006E0AFE">
        <w:rPr>
          <w:b/>
          <w:lang w:eastAsia="en-US"/>
        </w:rPr>
        <w:t>U 202</w:t>
      </w:r>
      <w:r w:rsidR="00857FD7" w:rsidRPr="006E0AFE">
        <w:rPr>
          <w:b/>
          <w:lang w:eastAsia="en-US"/>
        </w:rPr>
        <w:t>2. i 2023</w:t>
      </w:r>
      <w:r w:rsidRPr="006E0AFE">
        <w:rPr>
          <w:b/>
          <w:lang w:eastAsia="en-US"/>
        </w:rPr>
        <w:t xml:space="preserve">. godini </w:t>
      </w:r>
      <w:r w:rsidRPr="006E0AFE">
        <w:rPr>
          <w:lang w:eastAsia="en-US"/>
        </w:rPr>
        <w:t xml:space="preserve">sredstva se u okviru ove skupine rashoda planiraju u znatno nižem </w:t>
      </w:r>
      <w:r w:rsidR="00857FD7" w:rsidRPr="006E0AFE">
        <w:rPr>
          <w:lang w:eastAsia="en-US"/>
        </w:rPr>
        <w:t>iznosu u odnosu na 2021. godinu, a odnose se na potrebne kupnje zemljišta te se izrade urbanističkih planova uređenja i detaljnih planova uređenja sukladno donesenim izmjenama i dopunama Prostornog plana.</w:t>
      </w:r>
    </w:p>
    <w:p w14:paraId="0F5AF962" w14:textId="77777777" w:rsidR="008444F5" w:rsidRPr="006E0AFE" w:rsidRDefault="008444F5" w:rsidP="00ED705B">
      <w:pPr>
        <w:jc w:val="both"/>
        <w:rPr>
          <w:lang w:eastAsia="en-US"/>
        </w:rPr>
      </w:pPr>
    </w:p>
    <w:p w14:paraId="301DD6F4" w14:textId="77777777" w:rsidR="00ED705B" w:rsidRPr="006E0AFE" w:rsidRDefault="00ED705B" w:rsidP="00ED705B">
      <w:pPr>
        <w:tabs>
          <w:tab w:val="left" w:pos="709"/>
          <w:tab w:val="right" w:pos="5670"/>
          <w:tab w:val="right" w:pos="7513"/>
        </w:tabs>
        <w:jc w:val="both"/>
        <w:rPr>
          <w:lang w:eastAsia="en-US"/>
        </w:rPr>
      </w:pPr>
      <w:r w:rsidRPr="006E0AFE">
        <w:rPr>
          <w:b/>
          <w:bCs/>
          <w:u w:val="single"/>
          <w:lang w:eastAsia="en-US"/>
        </w:rPr>
        <w:t>2.B. Rashodi za nabavu proizvedene dugotrajne imovine (42)</w:t>
      </w:r>
      <w:r w:rsidRPr="006E0AFE">
        <w:rPr>
          <w:lang w:eastAsia="en-US"/>
        </w:rPr>
        <w:t xml:space="preserve"> čine najveći udio u ovim rashodima (75,8%), a obuhvaćaju rashode za nabavu građevinskih objekata, postrojenja i opreme, prijevoznih sredstava te nematerijalne imovine. </w:t>
      </w:r>
      <w:r w:rsidRPr="006E0AFE">
        <w:rPr>
          <w:b/>
          <w:lang w:eastAsia="en-US"/>
        </w:rPr>
        <w:t>U 2021. godini</w:t>
      </w:r>
      <w:r w:rsidRPr="006E0AFE">
        <w:rPr>
          <w:lang w:eastAsia="en-US"/>
        </w:rPr>
        <w:t xml:space="preserve"> planiran je iznos od 33.746.500 kn, dok se u 2022. i 2023. godini planira značajno smanjenje sredstava za ovu skupinu rashoda budući se završetak sanacije odlagališta otpada </w:t>
      </w:r>
      <w:proofErr w:type="spellStart"/>
      <w:r w:rsidRPr="006E0AFE">
        <w:rPr>
          <w:lang w:eastAsia="en-US"/>
        </w:rPr>
        <w:t>Osojnica</w:t>
      </w:r>
      <w:proofErr w:type="spellEnd"/>
      <w:r w:rsidRPr="006E0AFE">
        <w:rPr>
          <w:lang w:eastAsia="en-US"/>
        </w:rPr>
        <w:t xml:space="preserve"> očekuje u 2021. godini, a i u 2021. je planiran projekt obnove javne rasvjete u iznosu od 6.000.000 kn. </w:t>
      </w:r>
      <w:r w:rsidRPr="006E0AFE">
        <w:rPr>
          <w:u w:val="single"/>
          <w:lang w:eastAsia="en-US"/>
        </w:rPr>
        <w:t>Rashodi za nabavu građevinskih objekata</w:t>
      </w:r>
      <w:r w:rsidRPr="006E0AFE">
        <w:rPr>
          <w:lang w:eastAsia="en-US"/>
        </w:rPr>
        <w:t xml:space="preserve"> u 2021. godini planiraju se u ukupnom iznosu od 33.152.000 kn, a obuhvaćaju planirane troškove gradnje prometnica (13.850.000 kn) te prometne i ostale komunalne infrastrukture (925.000 kn), proširenja groblja </w:t>
      </w:r>
      <w:proofErr w:type="spellStart"/>
      <w:r w:rsidRPr="006E0AFE">
        <w:rPr>
          <w:lang w:eastAsia="en-US"/>
        </w:rPr>
        <w:t>Brgud</w:t>
      </w:r>
      <w:proofErr w:type="spellEnd"/>
      <w:r w:rsidRPr="006E0AFE">
        <w:rPr>
          <w:lang w:eastAsia="en-US"/>
        </w:rPr>
        <w:t xml:space="preserve"> i Matulji (900.000 kn), obnovu javne rasvjete (6.000.000 kn), izgradnju igrališta u </w:t>
      </w:r>
      <w:proofErr w:type="spellStart"/>
      <w:r w:rsidRPr="006E0AFE">
        <w:rPr>
          <w:lang w:eastAsia="en-US"/>
        </w:rPr>
        <w:t>Bregima</w:t>
      </w:r>
      <w:proofErr w:type="spellEnd"/>
      <w:r w:rsidRPr="006E0AFE">
        <w:rPr>
          <w:lang w:eastAsia="en-US"/>
        </w:rPr>
        <w:t xml:space="preserve"> (700.000 kn), izgradnje dodatnih prostora uz amfiteatar (500.000 kn) te dovršetak sanacije odlagališta otpada </w:t>
      </w:r>
      <w:proofErr w:type="spellStart"/>
      <w:r w:rsidRPr="006E0AFE">
        <w:rPr>
          <w:lang w:eastAsia="en-US"/>
        </w:rPr>
        <w:t>Osojnica</w:t>
      </w:r>
      <w:proofErr w:type="spellEnd"/>
      <w:r w:rsidRPr="006E0AFE">
        <w:rPr>
          <w:lang w:eastAsia="en-US"/>
        </w:rPr>
        <w:t xml:space="preserve"> (10.277.00 kn). </w:t>
      </w:r>
      <w:r w:rsidRPr="006E0AFE">
        <w:rPr>
          <w:b/>
          <w:lang w:eastAsia="en-US"/>
        </w:rPr>
        <w:t>U 2022. i 2023. godini</w:t>
      </w:r>
      <w:r w:rsidRPr="006E0AFE">
        <w:rPr>
          <w:lang w:eastAsia="en-US"/>
        </w:rPr>
        <w:t xml:space="preserve"> planira se nastavak gradnje prometnica, gradnja parkirališta Živica, groblja Matulji, uređenje centra Matulja te nastavak uređenja prostora amfiteatra.</w:t>
      </w:r>
    </w:p>
    <w:p w14:paraId="03CC2AE2" w14:textId="77777777" w:rsidR="00ED705B" w:rsidRPr="006E0AFE" w:rsidRDefault="00ED705B" w:rsidP="00ED705B">
      <w:pPr>
        <w:tabs>
          <w:tab w:val="left" w:pos="709"/>
          <w:tab w:val="right" w:pos="5670"/>
          <w:tab w:val="right" w:pos="7513"/>
        </w:tabs>
        <w:jc w:val="both"/>
        <w:rPr>
          <w:highlight w:val="yellow"/>
          <w:lang w:eastAsia="en-US"/>
        </w:rPr>
      </w:pPr>
      <w:r w:rsidRPr="006E0AFE">
        <w:rPr>
          <w:u w:val="single"/>
          <w:lang w:eastAsia="en-US"/>
        </w:rPr>
        <w:t>Rashodi za nabavu postrojenja i opreme</w:t>
      </w:r>
      <w:r w:rsidRPr="006E0AFE">
        <w:rPr>
          <w:lang w:eastAsia="en-US"/>
        </w:rPr>
        <w:t xml:space="preserve"> u 2021. godini iznose 284.000 kn i odnose se na planiranu nabavu uredske i računalne opreme za potrebe općinske uprave, uređaja i opreme za potrebe Dječjeg vrtića Matulji, nabavu sportske opreme u okviru Programa Sport, nabavu uređaja za mjerenje brzine, računalne opreme u okviru EU projekta, nabavu sprava za dječje igralište u Pasjaku. </w:t>
      </w:r>
    </w:p>
    <w:p w14:paraId="4A95C437" w14:textId="77777777" w:rsidR="00ED705B" w:rsidRPr="006E0AFE" w:rsidRDefault="00ED705B" w:rsidP="00ED705B">
      <w:pPr>
        <w:tabs>
          <w:tab w:val="left" w:pos="709"/>
          <w:tab w:val="right" w:pos="5670"/>
          <w:tab w:val="right" w:pos="7513"/>
        </w:tabs>
        <w:jc w:val="both"/>
        <w:rPr>
          <w:lang w:eastAsia="en-US"/>
        </w:rPr>
      </w:pPr>
      <w:r w:rsidRPr="006E0AFE">
        <w:rPr>
          <w:u w:val="single"/>
          <w:lang w:eastAsia="en-US"/>
        </w:rPr>
        <w:t>Rashodi za nabavu prijevoznih sredstava</w:t>
      </w:r>
      <w:r w:rsidR="001750E1" w:rsidRPr="006E0AFE">
        <w:rPr>
          <w:lang w:eastAsia="en-US"/>
        </w:rPr>
        <w:t xml:space="preserve"> (305.500 kn</w:t>
      </w:r>
      <w:r w:rsidRPr="006E0AFE">
        <w:rPr>
          <w:lang w:eastAsia="en-US"/>
        </w:rPr>
        <w:t>)</w:t>
      </w:r>
      <w:r w:rsidR="001750E1" w:rsidRPr="006E0AFE">
        <w:rPr>
          <w:lang w:eastAsia="en-US"/>
        </w:rPr>
        <w:t xml:space="preserve"> </w:t>
      </w:r>
      <w:r w:rsidRPr="006E0AFE">
        <w:rPr>
          <w:lang w:eastAsia="en-US"/>
        </w:rPr>
        <w:t>odnose se na nabavu dostavnog vozila za prijevoz hrane u Dječjem vrtiću Matulji te nabavu vozila za prijevoz osoba s teškoćama u kretanju u sklopu projekta Mobilna terenska jedinica.</w:t>
      </w:r>
    </w:p>
    <w:p w14:paraId="6E9560F2" w14:textId="77777777" w:rsidR="001750E1" w:rsidRPr="006E0AFE" w:rsidRDefault="001750E1" w:rsidP="00ED705B">
      <w:pPr>
        <w:tabs>
          <w:tab w:val="left" w:pos="709"/>
          <w:tab w:val="right" w:pos="5670"/>
          <w:tab w:val="right" w:pos="7513"/>
        </w:tabs>
        <w:jc w:val="both"/>
        <w:rPr>
          <w:lang w:eastAsia="en-US"/>
        </w:rPr>
      </w:pPr>
    </w:p>
    <w:p w14:paraId="73B5247D" w14:textId="77777777" w:rsidR="00ED705B" w:rsidRPr="006E0AFE" w:rsidRDefault="00ED705B" w:rsidP="00ED705B">
      <w:pPr>
        <w:tabs>
          <w:tab w:val="left" w:pos="709"/>
          <w:tab w:val="right" w:pos="5670"/>
          <w:tab w:val="right" w:pos="7513"/>
        </w:tabs>
        <w:jc w:val="both"/>
        <w:rPr>
          <w:lang w:eastAsia="en-US"/>
        </w:rPr>
      </w:pPr>
      <w:r w:rsidRPr="006E0AFE">
        <w:rPr>
          <w:b/>
          <w:bCs/>
          <w:u w:val="single"/>
          <w:lang w:eastAsia="en-US"/>
        </w:rPr>
        <w:t>2.C. Rashodi za dodatna ulaganja na nefinancijskoj imovini</w:t>
      </w:r>
      <w:r w:rsidRPr="006E0AFE">
        <w:rPr>
          <w:bCs/>
          <w:lang w:eastAsia="en-US"/>
        </w:rPr>
        <w:t xml:space="preserve"> u iznosu od 8.797.000 kn</w:t>
      </w:r>
      <w:r w:rsidRPr="006E0AFE">
        <w:rPr>
          <w:b/>
          <w:bCs/>
          <w:lang w:eastAsia="en-US"/>
        </w:rPr>
        <w:t xml:space="preserve"> </w:t>
      </w:r>
      <w:r w:rsidRPr="006E0AFE">
        <w:rPr>
          <w:lang w:eastAsia="en-US"/>
        </w:rPr>
        <w:t xml:space="preserve">odnose se na troškove kapitalnih ulaganja u postojeće zgrade i prostore u vlasništvu Općine. Tako su u okviru ove skupine rashoda </w:t>
      </w:r>
      <w:r w:rsidRPr="006E0AFE">
        <w:rPr>
          <w:b/>
          <w:lang w:eastAsia="en-US"/>
        </w:rPr>
        <w:t>u 2021. godini</w:t>
      </w:r>
      <w:r w:rsidRPr="006E0AFE">
        <w:rPr>
          <w:lang w:eastAsia="en-US"/>
        </w:rPr>
        <w:t xml:space="preserve"> planirana sredstva za proširenje OŠ </w:t>
      </w:r>
      <w:proofErr w:type="spellStart"/>
      <w:r w:rsidRPr="006E0AFE">
        <w:rPr>
          <w:lang w:eastAsia="en-US"/>
        </w:rPr>
        <w:t>Brešca</w:t>
      </w:r>
      <w:proofErr w:type="spellEnd"/>
      <w:r w:rsidRPr="006E0AFE">
        <w:rPr>
          <w:lang w:eastAsia="en-US"/>
        </w:rPr>
        <w:t xml:space="preserve">, odnosno uređenje tavanskog prostora (2.200.000 kn), projektnu dokumentaciju za uređenje prostora za dječji vrtić u </w:t>
      </w:r>
      <w:proofErr w:type="spellStart"/>
      <w:r w:rsidRPr="006E0AFE">
        <w:rPr>
          <w:lang w:eastAsia="en-US"/>
        </w:rPr>
        <w:t>Munama</w:t>
      </w:r>
      <w:proofErr w:type="spellEnd"/>
      <w:r w:rsidRPr="006E0AFE">
        <w:rPr>
          <w:lang w:eastAsia="en-US"/>
        </w:rPr>
        <w:t xml:space="preserve"> (70.000 kn), uređenje dječjeg igrališta Jušići (467.000 kn, projekt iz EU fondova), uređenje ruševina i vanjskog prostora u Lipi (600.000 kn, projekt “Muzej izvan muzeja“ u suradnji s Ministarstvom kulture i PGŽ), obnovu društvenog doma Hangar i ostalih društvenih domova (400.000 kn), dodatna ulaganja u stambene i poslovne prostore (60.000 kn) te za pripremu zemljišta u RZ </w:t>
      </w:r>
      <w:proofErr w:type="spellStart"/>
      <w:r w:rsidRPr="006E0AFE">
        <w:rPr>
          <w:lang w:eastAsia="en-US"/>
        </w:rPr>
        <w:t>Miklavija</w:t>
      </w:r>
      <w:proofErr w:type="spellEnd"/>
      <w:r w:rsidRPr="006E0AFE">
        <w:rPr>
          <w:lang w:eastAsia="en-US"/>
        </w:rPr>
        <w:t xml:space="preserve"> (5.000.000 kn).</w:t>
      </w:r>
    </w:p>
    <w:p w14:paraId="0745C3ED" w14:textId="77777777" w:rsidR="00ED705B" w:rsidRPr="006E0AFE" w:rsidRDefault="00ED705B" w:rsidP="00ED705B">
      <w:pPr>
        <w:tabs>
          <w:tab w:val="left" w:pos="709"/>
          <w:tab w:val="right" w:pos="5670"/>
          <w:tab w:val="right" w:pos="7513"/>
        </w:tabs>
        <w:jc w:val="both"/>
        <w:rPr>
          <w:lang w:eastAsia="en-US"/>
        </w:rPr>
      </w:pPr>
      <w:r w:rsidRPr="006E0AFE">
        <w:rPr>
          <w:b/>
          <w:lang w:eastAsia="en-US"/>
        </w:rPr>
        <w:lastRenderedPageBreak/>
        <w:t>U 2022. godini</w:t>
      </w:r>
      <w:r w:rsidRPr="006E0AFE">
        <w:rPr>
          <w:lang w:eastAsia="en-US"/>
        </w:rPr>
        <w:t xml:space="preserve"> planira se povećanje ove vrste rashoda (12.160.000 kn) budući se planira nastavak obnove društvenog doma Hangar i ostalih društvenih domova, energetska obnova OŠ </w:t>
      </w:r>
      <w:proofErr w:type="spellStart"/>
      <w:r w:rsidRPr="006E0AFE">
        <w:rPr>
          <w:lang w:eastAsia="en-US"/>
        </w:rPr>
        <w:t>Brešca</w:t>
      </w:r>
      <w:proofErr w:type="spellEnd"/>
      <w:r w:rsidRPr="006E0AFE">
        <w:rPr>
          <w:lang w:eastAsia="en-US"/>
        </w:rPr>
        <w:t xml:space="preserve"> i OŠ Rupa, uređenje prostora za dječji vrtić u </w:t>
      </w:r>
      <w:proofErr w:type="spellStart"/>
      <w:r w:rsidRPr="006E0AFE">
        <w:rPr>
          <w:lang w:eastAsia="en-US"/>
        </w:rPr>
        <w:t>Munama</w:t>
      </w:r>
      <w:proofErr w:type="spellEnd"/>
      <w:r w:rsidRPr="006E0AFE">
        <w:rPr>
          <w:lang w:eastAsia="en-US"/>
        </w:rPr>
        <w:t xml:space="preserve"> te nastavak pripreme zemljišta u RZ </w:t>
      </w:r>
      <w:proofErr w:type="spellStart"/>
      <w:r w:rsidRPr="006E0AFE">
        <w:rPr>
          <w:lang w:eastAsia="en-US"/>
        </w:rPr>
        <w:t>Miklavija</w:t>
      </w:r>
      <w:proofErr w:type="spellEnd"/>
      <w:r w:rsidRPr="006E0AFE">
        <w:rPr>
          <w:lang w:eastAsia="en-US"/>
        </w:rPr>
        <w:t xml:space="preserve">. Također, dio investicija se planira i </w:t>
      </w:r>
      <w:r w:rsidRPr="006E0AFE">
        <w:rPr>
          <w:b/>
          <w:lang w:eastAsia="en-US"/>
        </w:rPr>
        <w:t>u 2023. godini</w:t>
      </w:r>
      <w:r w:rsidRPr="006E0AFE">
        <w:rPr>
          <w:lang w:eastAsia="en-US"/>
        </w:rPr>
        <w:t>, obnova društveni</w:t>
      </w:r>
      <w:r w:rsidR="001750E1" w:rsidRPr="006E0AFE">
        <w:rPr>
          <w:lang w:eastAsia="en-US"/>
        </w:rPr>
        <w:t>h</w:t>
      </w:r>
      <w:r w:rsidRPr="006E0AFE">
        <w:rPr>
          <w:lang w:eastAsia="en-US"/>
        </w:rPr>
        <w:t xml:space="preserve"> domova i priprema zemljišta u RZ </w:t>
      </w:r>
      <w:proofErr w:type="spellStart"/>
      <w:r w:rsidRPr="006E0AFE">
        <w:rPr>
          <w:lang w:eastAsia="en-US"/>
        </w:rPr>
        <w:t>Miklavija</w:t>
      </w:r>
      <w:proofErr w:type="spellEnd"/>
      <w:r w:rsidRPr="006E0AFE">
        <w:rPr>
          <w:lang w:eastAsia="en-US"/>
        </w:rPr>
        <w:t xml:space="preserve"> (7.060.000 kn).</w:t>
      </w:r>
    </w:p>
    <w:p w14:paraId="1A7A1FF6" w14:textId="77777777" w:rsidR="00ED705B" w:rsidRPr="006E0AFE" w:rsidRDefault="00ED705B" w:rsidP="00ED705B">
      <w:pPr>
        <w:tabs>
          <w:tab w:val="left" w:pos="709"/>
          <w:tab w:val="right" w:pos="5670"/>
          <w:tab w:val="right" w:pos="7513"/>
        </w:tabs>
        <w:jc w:val="both"/>
        <w:rPr>
          <w:lang w:eastAsia="en-US"/>
        </w:rPr>
      </w:pPr>
    </w:p>
    <w:p w14:paraId="5A28D112" w14:textId="77777777" w:rsidR="001750E1" w:rsidRPr="006E0AFE" w:rsidRDefault="001750E1" w:rsidP="00ED705B">
      <w:pPr>
        <w:tabs>
          <w:tab w:val="left" w:pos="709"/>
          <w:tab w:val="right" w:pos="5670"/>
          <w:tab w:val="right" w:pos="7513"/>
        </w:tabs>
        <w:jc w:val="both"/>
        <w:rPr>
          <w:lang w:eastAsia="en-US"/>
        </w:rPr>
      </w:pPr>
    </w:p>
    <w:p w14:paraId="6AE97BEC" w14:textId="77777777" w:rsidR="00ED705B" w:rsidRPr="006E0AFE" w:rsidRDefault="00ED705B" w:rsidP="00ED705B">
      <w:pPr>
        <w:numPr>
          <w:ilvl w:val="0"/>
          <w:numId w:val="1"/>
        </w:numPr>
        <w:tabs>
          <w:tab w:val="left" w:pos="709"/>
          <w:tab w:val="right" w:pos="5670"/>
          <w:tab w:val="right" w:pos="7513"/>
        </w:tabs>
        <w:jc w:val="both"/>
        <w:rPr>
          <w:i/>
          <w:iCs/>
          <w:u w:val="single"/>
          <w:lang w:eastAsia="en-US"/>
        </w:rPr>
      </w:pPr>
      <w:r w:rsidRPr="006E0AFE">
        <w:rPr>
          <w:b/>
          <w:i/>
          <w:iCs/>
          <w:u w:val="single"/>
          <w:lang w:eastAsia="en-US"/>
        </w:rPr>
        <w:t>IZDACI ZA FINANCIJSKU IMOVINU I OTPLATE ZAJMOVA</w:t>
      </w:r>
    </w:p>
    <w:p w14:paraId="1A440B84" w14:textId="77777777" w:rsidR="00ED705B" w:rsidRPr="006E0AFE" w:rsidRDefault="00ED705B" w:rsidP="00ED705B">
      <w:pPr>
        <w:tabs>
          <w:tab w:val="left" w:pos="709"/>
          <w:tab w:val="right" w:pos="5670"/>
          <w:tab w:val="right" w:pos="7513"/>
        </w:tabs>
        <w:jc w:val="both"/>
        <w:rPr>
          <w:lang w:eastAsia="en-US"/>
        </w:rPr>
      </w:pPr>
    </w:p>
    <w:p w14:paraId="3F7A8751" w14:textId="77777777" w:rsidR="00ED705B" w:rsidRPr="006E0AFE" w:rsidRDefault="00ED705B" w:rsidP="00ED705B">
      <w:pPr>
        <w:tabs>
          <w:tab w:val="left" w:pos="709"/>
          <w:tab w:val="right" w:pos="5670"/>
          <w:tab w:val="right" w:pos="7513"/>
        </w:tabs>
        <w:jc w:val="both"/>
        <w:rPr>
          <w:lang w:eastAsia="en-US"/>
        </w:rPr>
      </w:pPr>
      <w:bookmarkStart w:id="5" w:name="_Hlk24212605"/>
      <w:r w:rsidRPr="006E0AFE">
        <w:rPr>
          <w:b/>
          <w:u w:val="single"/>
          <w:lang w:eastAsia="en-US"/>
        </w:rPr>
        <w:t>Izdaci za financijsku imovinu i otplate zajmova</w:t>
      </w:r>
      <w:r w:rsidRPr="006E0AFE">
        <w:rPr>
          <w:lang w:eastAsia="en-US"/>
        </w:rPr>
        <w:t xml:space="preserve"> </w:t>
      </w:r>
      <w:bookmarkEnd w:id="5"/>
      <w:r w:rsidRPr="006E0AFE">
        <w:rPr>
          <w:lang w:eastAsia="en-US"/>
        </w:rPr>
        <w:t>obuhvaćaju sredstva za otplate glavnice po kreditima, zatim pozajmice te depozite u kreditnim i ostalim financijskim institucijama</w:t>
      </w:r>
      <w:bookmarkEnd w:id="4"/>
      <w:r w:rsidRPr="006E0AFE">
        <w:rPr>
          <w:lang w:eastAsia="en-US"/>
        </w:rPr>
        <w:t>.</w:t>
      </w:r>
    </w:p>
    <w:p w14:paraId="5AA60963" w14:textId="77777777" w:rsidR="00ED705B" w:rsidRPr="006E0AFE" w:rsidRDefault="00ED705B" w:rsidP="00ED705B">
      <w:pPr>
        <w:tabs>
          <w:tab w:val="left" w:pos="709"/>
          <w:tab w:val="right" w:pos="5670"/>
          <w:tab w:val="right" w:pos="7513"/>
        </w:tabs>
        <w:jc w:val="both"/>
        <w:rPr>
          <w:lang w:eastAsia="en-US"/>
        </w:rPr>
      </w:pPr>
      <w:r w:rsidRPr="006E0AFE">
        <w:rPr>
          <w:b/>
          <w:lang w:eastAsia="en-US"/>
        </w:rPr>
        <w:t xml:space="preserve">Izdaci za financijsku imovinu i otplate zajmova u 2021. godini </w:t>
      </w:r>
      <w:r w:rsidRPr="006E0AFE">
        <w:rPr>
          <w:lang w:eastAsia="en-US"/>
        </w:rPr>
        <w:t xml:space="preserve">obuhvaćaju sredstva za otplatu glavnice po kreditima podignutim 2013. godine kod </w:t>
      </w:r>
      <w:proofErr w:type="spellStart"/>
      <w:r w:rsidRPr="006E0AFE">
        <w:rPr>
          <w:lang w:eastAsia="en-US"/>
        </w:rPr>
        <w:t>Erste&amp;Steiermarkische</w:t>
      </w:r>
      <w:proofErr w:type="spellEnd"/>
      <w:r w:rsidRPr="006E0AFE">
        <w:rPr>
          <w:lang w:eastAsia="en-US"/>
        </w:rPr>
        <w:t xml:space="preserve"> </w:t>
      </w:r>
      <w:proofErr w:type="spellStart"/>
      <w:r w:rsidRPr="006E0AFE">
        <w:rPr>
          <w:lang w:eastAsia="en-US"/>
        </w:rPr>
        <w:t>bank</w:t>
      </w:r>
      <w:proofErr w:type="spellEnd"/>
      <w:r w:rsidRPr="006E0AFE">
        <w:rPr>
          <w:lang w:eastAsia="en-US"/>
        </w:rPr>
        <w:t xml:space="preserve"> d.d. sukladno otplatnim planovima i zaključenim ugovorima o kreditu, a iznos je neznatno veći u odnosu na 2020. godinu.</w:t>
      </w:r>
    </w:p>
    <w:p w14:paraId="2EC30870" w14:textId="77777777" w:rsidR="00ED705B" w:rsidRPr="006E0AFE" w:rsidRDefault="00ED705B" w:rsidP="00ED705B">
      <w:pPr>
        <w:tabs>
          <w:tab w:val="left" w:pos="709"/>
          <w:tab w:val="right" w:pos="5670"/>
          <w:tab w:val="right" w:pos="7513"/>
        </w:tabs>
        <w:jc w:val="both"/>
        <w:rPr>
          <w:lang w:eastAsia="en-US"/>
        </w:rPr>
      </w:pPr>
      <w:r w:rsidRPr="006E0AFE">
        <w:rPr>
          <w:b/>
          <w:bCs/>
          <w:lang w:eastAsia="en-US"/>
        </w:rPr>
        <w:t>Projekcijom za 2022. i 2023</w:t>
      </w:r>
      <w:r w:rsidRPr="006E0AFE">
        <w:rPr>
          <w:b/>
          <w:lang w:eastAsia="en-US"/>
        </w:rPr>
        <w:t>. godinu</w:t>
      </w:r>
      <w:r w:rsidRPr="006E0AFE">
        <w:rPr>
          <w:lang w:eastAsia="en-US"/>
        </w:rPr>
        <w:t xml:space="preserve"> pored obveza za povrat glavnice po kreditima iz 2013. godine, planirane su i obveze za povrat glavnice po kreditima koji su povučeni u 2019. i 2020. godini za energetske obnove zgrada, dogradnju OŠ Matulji, sanaciju odlagališna otpada </w:t>
      </w:r>
      <w:proofErr w:type="spellStart"/>
      <w:r w:rsidRPr="006E0AFE">
        <w:rPr>
          <w:lang w:eastAsia="en-US"/>
        </w:rPr>
        <w:t>Osojnica</w:t>
      </w:r>
      <w:proofErr w:type="spellEnd"/>
      <w:r w:rsidRPr="006E0AFE">
        <w:rPr>
          <w:lang w:eastAsia="en-US"/>
        </w:rPr>
        <w:t xml:space="preserve"> te otkup zemljišta za RZ </w:t>
      </w:r>
      <w:proofErr w:type="spellStart"/>
      <w:r w:rsidRPr="006E0AFE">
        <w:rPr>
          <w:lang w:eastAsia="en-US"/>
        </w:rPr>
        <w:t>Miklavija</w:t>
      </w:r>
      <w:proofErr w:type="spellEnd"/>
      <w:r w:rsidRPr="006E0AFE">
        <w:rPr>
          <w:lang w:eastAsia="en-US"/>
        </w:rPr>
        <w:t>, kao i za kredit za obnovu javne rasvjete koji će se koristiti u 2021. godini. Iako su moguća određena odstupanja ovisno o povlačenju sredstava kredita.</w:t>
      </w:r>
    </w:p>
    <w:p w14:paraId="0B2772A1" w14:textId="77777777" w:rsidR="00ED705B" w:rsidRPr="006E0AFE" w:rsidRDefault="00ED705B" w:rsidP="00ED705B">
      <w:pPr>
        <w:tabs>
          <w:tab w:val="left" w:pos="709"/>
          <w:tab w:val="right" w:pos="5670"/>
          <w:tab w:val="right" w:pos="7513"/>
        </w:tabs>
        <w:jc w:val="both"/>
        <w:rPr>
          <w:lang w:eastAsia="en-US"/>
        </w:rPr>
      </w:pPr>
    </w:p>
    <w:p w14:paraId="036537F9" w14:textId="77777777" w:rsidR="00ED705B" w:rsidRPr="006E0AFE" w:rsidRDefault="00ED705B" w:rsidP="00ED705B">
      <w:pPr>
        <w:jc w:val="both"/>
        <w:rPr>
          <w:b/>
          <w:u w:val="single"/>
          <w:lang w:eastAsia="en-US"/>
        </w:rPr>
      </w:pPr>
    </w:p>
    <w:p w14:paraId="5D2108BF" w14:textId="77777777" w:rsidR="00ED705B" w:rsidRPr="00845179" w:rsidRDefault="00ED705B" w:rsidP="00ED705B">
      <w:pPr>
        <w:jc w:val="both"/>
        <w:rPr>
          <w:b/>
          <w:color w:val="2E74B5"/>
          <w:sz w:val="28"/>
          <w:szCs w:val="28"/>
          <w:u w:val="single"/>
          <w:lang w:eastAsia="en-US"/>
          <w14:shadow w14:blurRad="50800" w14:dist="38100" w14:dir="2700000" w14:sx="100000" w14:sy="100000" w14:kx="0" w14:ky="0" w14:algn="tl">
            <w14:srgbClr w14:val="000000">
              <w14:alpha w14:val="60000"/>
            </w14:srgbClr>
          </w14:shadow>
        </w:rPr>
      </w:pPr>
      <w:r w:rsidRPr="00845179">
        <w:rPr>
          <w:b/>
          <w:color w:val="2E74B5"/>
          <w:sz w:val="28"/>
          <w:szCs w:val="28"/>
          <w:u w:val="single"/>
          <w:lang w:eastAsia="en-US"/>
          <w14:shadow w14:blurRad="50800" w14:dist="38100" w14:dir="2700000" w14:sx="100000" w14:sy="100000" w14:kx="0" w14:ky="0" w14:algn="tl">
            <w14:srgbClr w14:val="000000">
              <w14:alpha w14:val="60000"/>
            </w14:srgbClr>
          </w14:shadow>
        </w:rPr>
        <w:t xml:space="preserve"> III. RASHODI i IZDACI PO RAZDJELIMA I PROGRAMIMA</w:t>
      </w:r>
    </w:p>
    <w:p w14:paraId="5759778E" w14:textId="77777777" w:rsidR="00ED705B" w:rsidRPr="006E0AFE" w:rsidRDefault="00ED705B" w:rsidP="00ED705B">
      <w:pPr>
        <w:jc w:val="both"/>
        <w:rPr>
          <w:lang w:eastAsia="en-US"/>
        </w:rPr>
      </w:pPr>
    </w:p>
    <w:p w14:paraId="1E4C5935" w14:textId="77777777" w:rsidR="00ED705B" w:rsidRPr="006E0AFE" w:rsidRDefault="00ED705B" w:rsidP="00ED705B">
      <w:pPr>
        <w:jc w:val="both"/>
        <w:rPr>
          <w:lang w:eastAsia="en-US"/>
        </w:rPr>
      </w:pPr>
      <w:r w:rsidRPr="006E0AFE">
        <w:rPr>
          <w:lang w:eastAsia="en-US"/>
        </w:rPr>
        <w:t>Rashodi i izdaci Proračuna i proračunskih korisnika iskazani po vrstama, raspoređeni u programe koji se sastoje od aktivnosti i projekata na razini Razdjela sadržani su u Posebnom dijelu Proračuna.</w:t>
      </w:r>
    </w:p>
    <w:p w14:paraId="7206F8D4" w14:textId="77777777" w:rsidR="00ED705B" w:rsidRPr="006E0AFE" w:rsidRDefault="00ED705B" w:rsidP="00ED705B">
      <w:pPr>
        <w:jc w:val="both"/>
        <w:rPr>
          <w:lang w:eastAsia="en-US"/>
        </w:rPr>
      </w:pPr>
      <w:r w:rsidRPr="006E0AFE">
        <w:rPr>
          <w:lang w:eastAsia="en-US"/>
        </w:rPr>
        <w:t>Usporedni podaci o planiranim sredstvima Proračuna na razini Razdjela za 2021. godinu i projekcije za 2022. te 2023.</w:t>
      </w:r>
      <w:r w:rsidR="001750E1" w:rsidRPr="006E0AFE">
        <w:rPr>
          <w:lang w:eastAsia="en-US"/>
        </w:rPr>
        <w:t xml:space="preserve"> </w:t>
      </w:r>
      <w:r w:rsidRPr="006E0AFE">
        <w:rPr>
          <w:lang w:eastAsia="en-US"/>
        </w:rPr>
        <w:t>godinu u odnosu na tekuću 2020. godinu pri</w:t>
      </w:r>
      <w:r w:rsidR="00A35E6F" w:rsidRPr="006E0AFE">
        <w:rPr>
          <w:lang w:eastAsia="en-US"/>
        </w:rPr>
        <w:t>kazani su u sljedećem grafikonu:</w:t>
      </w:r>
    </w:p>
    <w:p w14:paraId="1084CE29" w14:textId="77777777" w:rsidR="00ED705B" w:rsidRPr="006E0AFE" w:rsidRDefault="00ED705B" w:rsidP="00ED705B">
      <w:pPr>
        <w:jc w:val="both"/>
        <w:rPr>
          <w:lang w:eastAsia="en-US"/>
        </w:rPr>
      </w:pPr>
    </w:p>
    <w:p w14:paraId="51E5B929" w14:textId="2EB2784C" w:rsidR="00ED705B" w:rsidRPr="006E0AFE" w:rsidRDefault="00845179" w:rsidP="00ED705B">
      <w:pPr>
        <w:jc w:val="center"/>
        <w:rPr>
          <w:lang w:eastAsia="en-US"/>
        </w:rPr>
      </w:pPr>
      <w:r>
        <w:rPr>
          <w:noProof/>
        </w:rPr>
        <w:drawing>
          <wp:inline distT="0" distB="0" distL="0" distR="0" wp14:anchorId="49A1D140" wp14:editId="26E15CD1">
            <wp:extent cx="5585460" cy="2910840"/>
            <wp:effectExtent l="0" t="0" r="0" b="0"/>
            <wp:docPr id="5" name="Slik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FD318F" w14:textId="77777777" w:rsidR="00ED705B" w:rsidRPr="006E0AFE" w:rsidRDefault="00ED705B" w:rsidP="00ED705B">
      <w:pPr>
        <w:jc w:val="center"/>
        <w:rPr>
          <w:sz w:val="22"/>
          <w:szCs w:val="22"/>
          <w:lang w:eastAsia="en-US"/>
        </w:rPr>
      </w:pPr>
    </w:p>
    <w:p w14:paraId="306328B8" w14:textId="77777777" w:rsidR="00ED705B" w:rsidRPr="006E0AFE" w:rsidRDefault="00ED705B" w:rsidP="00ED705B">
      <w:pPr>
        <w:jc w:val="both"/>
        <w:rPr>
          <w:lang w:eastAsia="en-US"/>
        </w:rPr>
      </w:pPr>
      <w:r w:rsidRPr="006E0AFE">
        <w:rPr>
          <w:lang w:eastAsia="en-US"/>
        </w:rPr>
        <w:t xml:space="preserve">Iz prikazanih podataka vidljivo je da najveći dio Proračuna za 2021. godinu otpada na Razdjel 002 Jedinstveni upravni odjel (97,3%), dok se na Razdjel 001 Predstavničko i izvršno tijelo odnosi 2,7% sredstava Proračuna. Unutar Razdjela 001 Predstavničko i izvršno tijelo kod Mjesne samouprave je vidljivo značajnije smanjenje, a ono je iz razloga što je su u 2020. godini prikazani rashodi mjesnih odbora po ostvarenom višku od vlastitih prihoda iz prethodnih godina. Za Jedinstveni upravni odjel također je nešto niži iznos prijedlog plana rashoda u odnosu na 2020. godinu prvenstveno iz razloga jer su u okviru odjela planirani rashodi za kapitalne investicije koji su niži nego u 2020. godini. Prijedlog plana Dječjeg vrtića </w:t>
      </w:r>
      <w:r w:rsidRPr="006E0AFE">
        <w:rPr>
          <w:lang w:eastAsia="en-US"/>
        </w:rPr>
        <w:lastRenderedPageBreak/>
        <w:t>Matulji nešto je viši u odnosu na plan u 2020. godini budući su u 2020. godini smanjeni troškovi za dio kada je vrtić bio zatvoren radi epidemije bolesti Covid-19.</w:t>
      </w:r>
    </w:p>
    <w:p w14:paraId="671DF8BA" w14:textId="77777777" w:rsidR="00ED705B" w:rsidRPr="006E0AFE" w:rsidRDefault="00ED705B" w:rsidP="00ED705B">
      <w:pPr>
        <w:jc w:val="both"/>
        <w:rPr>
          <w:b/>
          <w:lang w:eastAsia="en-US"/>
        </w:rPr>
      </w:pPr>
    </w:p>
    <w:p w14:paraId="03DBE844" w14:textId="77777777" w:rsidR="00ED705B" w:rsidRPr="006E0AFE" w:rsidRDefault="00ED705B" w:rsidP="00ED705B">
      <w:pPr>
        <w:jc w:val="both"/>
        <w:rPr>
          <w:b/>
          <w:lang w:eastAsia="en-US"/>
        </w:rPr>
      </w:pPr>
      <w:r w:rsidRPr="006E0AFE">
        <w:rPr>
          <w:b/>
          <w:lang w:eastAsia="en-US"/>
        </w:rPr>
        <w:t>RASPODJELA SREDSTAVA PO PROGRAMIMA ZA 2021. - 2023.GODINU</w:t>
      </w:r>
    </w:p>
    <w:p w14:paraId="266A3360" w14:textId="77777777" w:rsidR="00ED705B" w:rsidRPr="006E0AFE" w:rsidRDefault="00ED705B" w:rsidP="00ED705B">
      <w:pPr>
        <w:jc w:val="both"/>
        <w:rPr>
          <w:lang w:eastAsia="en-US"/>
        </w:rPr>
      </w:pPr>
    </w:p>
    <w:p w14:paraId="5341A5F7" w14:textId="77777777" w:rsidR="00ED705B" w:rsidRPr="006E0AFE" w:rsidRDefault="00ED705B" w:rsidP="00ED705B">
      <w:pPr>
        <w:jc w:val="both"/>
        <w:rPr>
          <w:lang w:eastAsia="en-US"/>
        </w:rPr>
      </w:pPr>
      <w:r w:rsidRPr="006E0AFE">
        <w:rPr>
          <w:lang w:eastAsia="en-US"/>
        </w:rPr>
        <w:t>Sredstva Proračuna za 2021. godinu te projekcija za 2022. i 2023. godinu planirana su na razini pojedinih Programa kako slijedi:</w:t>
      </w:r>
    </w:p>
    <w:p w14:paraId="1888E87F" w14:textId="77777777" w:rsidR="00A35E6F" w:rsidRPr="006E0AFE" w:rsidRDefault="00A35E6F" w:rsidP="00ED705B">
      <w:pPr>
        <w:jc w:val="both"/>
        <w:rPr>
          <w:lang w:eastAsia="en-US"/>
        </w:rPr>
      </w:pP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1469"/>
        <w:gridCol w:w="1415"/>
        <w:gridCol w:w="1072"/>
        <w:gridCol w:w="1494"/>
        <w:gridCol w:w="1494"/>
      </w:tblGrid>
      <w:tr w:rsidR="00ED705B" w:rsidRPr="006E0AFE" w14:paraId="3317E4C7" w14:textId="77777777" w:rsidTr="00845179">
        <w:trPr>
          <w:trHeight w:val="276"/>
        </w:trPr>
        <w:tc>
          <w:tcPr>
            <w:tcW w:w="3196" w:type="dxa"/>
            <w:vMerge w:val="restart"/>
            <w:shd w:val="clear" w:color="auto" w:fill="auto"/>
            <w:vAlign w:val="center"/>
            <w:hideMark/>
          </w:tcPr>
          <w:p w14:paraId="574C1BF7" w14:textId="77777777" w:rsidR="00ED705B" w:rsidRPr="006E0AFE" w:rsidRDefault="00ED705B" w:rsidP="00ED705B">
            <w:pPr>
              <w:jc w:val="center"/>
              <w:rPr>
                <w:b/>
                <w:bCs/>
                <w:sz w:val="20"/>
                <w:szCs w:val="20"/>
              </w:rPr>
            </w:pPr>
            <w:r w:rsidRPr="006E0AFE">
              <w:rPr>
                <w:b/>
                <w:bCs/>
                <w:sz w:val="20"/>
                <w:szCs w:val="20"/>
              </w:rPr>
              <w:t>RAZDJEL / PROGRAM</w:t>
            </w:r>
          </w:p>
        </w:tc>
        <w:tc>
          <w:tcPr>
            <w:tcW w:w="1469" w:type="dxa"/>
            <w:vMerge w:val="restart"/>
            <w:shd w:val="clear" w:color="auto" w:fill="auto"/>
            <w:vAlign w:val="center"/>
            <w:hideMark/>
          </w:tcPr>
          <w:p w14:paraId="1DD9A5AE" w14:textId="77777777" w:rsidR="00ED705B" w:rsidRPr="006E0AFE" w:rsidRDefault="00ED705B" w:rsidP="00ED705B">
            <w:pPr>
              <w:jc w:val="center"/>
              <w:rPr>
                <w:b/>
                <w:bCs/>
                <w:sz w:val="20"/>
                <w:szCs w:val="20"/>
              </w:rPr>
            </w:pPr>
            <w:r w:rsidRPr="006E0AFE">
              <w:rPr>
                <w:b/>
                <w:bCs/>
                <w:sz w:val="20"/>
                <w:szCs w:val="20"/>
              </w:rPr>
              <w:t>PRORAČUN 2020</w:t>
            </w:r>
          </w:p>
        </w:tc>
        <w:tc>
          <w:tcPr>
            <w:tcW w:w="1415" w:type="dxa"/>
            <w:vMerge w:val="restart"/>
            <w:shd w:val="clear" w:color="auto" w:fill="auto"/>
            <w:vAlign w:val="center"/>
            <w:hideMark/>
          </w:tcPr>
          <w:p w14:paraId="41B5BA9C" w14:textId="77777777" w:rsidR="00ED705B" w:rsidRPr="006E0AFE" w:rsidRDefault="00ED705B" w:rsidP="00ED705B">
            <w:pPr>
              <w:jc w:val="center"/>
              <w:rPr>
                <w:b/>
                <w:bCs/>
                <w:sz w:val="20"/>
                <w:szCs w:val="20"/>
              </w:rPr>
            </w:pPr>
            <w:r w:rsidRPr="006E0AFE">
              <w:rPr>
                <w:b/>
                <w:bCs/>
                <w:sz w:val="20"/>
                <w:szCs w:val="20"/>
              </w:rPr>
              <w:t>PRORAČUN 2021</w:t>
            </w:r>
          </w:p>
        </w:tc>
        <w:tc>
          <w:tcPr>
            <w:tcW w:w="1072" w:type="dxa"/>
            <w:vMerge w:val="restart"/>
            <w:shd w:val="clear" w:color="auto" w:fill="auto"/>
            <w:vAlign w:val="center"/>
            <w:hideMark/>
          </w:tcPr>
          <w:p w14:paraId="73C4C790" w14:textId="77777777" w:rsidR="00ED705B" w:rsidRPr="006E0AFE" w:rsidRDefault="00ED705B" w:rsidP="00ED705B">
            <w:pPr>
              <w:jc w:val="center"/>
              <w:rPr>
                <w:b/>
                <w:bCs/>
                <w:sz w:val="20"/>
                <w:szCs w:val="20"/>
              </w:rPr>
            </w:pPr>
            <w:r w:rsidRPr="006E0AFE">
              <w:rPr>
                <w:b/>
                <w:bCs/>
                <w:sz w:val="20"/>
                <w:szCs w:val="20"/>
              </w:rPr>
              <w:t xml:space="preserve">INDEKS 2021/2020 </w:t>
            </w:r>
          </w:p>
        </w:tc>
        <w:tc>
          <w:tcPr>
            <w:tcW w:w="1494" w:type="dxa"/>
            <w:vMerge w:val="restart"/>
            <w:shd w:val="clear" w:color="auto" w:fill="auto"/>
            <w:vAlign w:val="center"/>
            <w:hideMark/>
          </w:tcPr>
          <w:p w14:paraId="5F28D7CC" w14:textId="77777777" w:rsidR="00ED705B" w:rsidRPr="006E0AFE" w:rsidRDefault="00ED705B" w:rsidP="00ED705B">
            <w:pPr>
              <w:jc w:val="center"/>
              <w:rPr>
                <w:b/>
                <w:bCs/>
                <w:sz w:val="20"/>
                <w:szCs w:val="20"/>
              </w:rPr>
            </w:pPr>
            <w:r w:rsidRPr="006E0AFE">
              <w:rPr>
                <w:b/>
                <w:bCs/>
                <w:sz w:val="20"/>
                <w:szCs w:val="20"/>
              </w:rPr>
              <w:t>PROJEKCIJA 2022</w:t>
            </w:r>
          </w:p>
        </w:tc>
        <w:tc>
          <w:tcPr>
            <w:tcW w:w="1494" w:type="dxa"/>
            <w:vMerge w:val="restart"/>
            <w:shd w:val="clear" w:color="auto" w:fill="auto"/>
            <w:vAlign w:val="center"/>
            <w:hideMark/>
          </w:tcPr>
          <w:p w14:paraId="3CEB89F2" w14:textId="77777777" w:rsidR="00ED705B" w:rsidRPr="006E0AFE" w:rsidRDefault="00ED705B" w:rsidP="00ED705B">
            <w:pPr>
              <w:jc w:val="center"/>
              <w:rPr>
                <w:b/>
                <w:bCs/>
                <w:sz w:val="20"/>
                <w:szCs w:val="20"/>
              </w:rPr>
            </w:pPr>
            <w:r w:rsidRPr="006E0AFE">
              <w:rPr>
                <w:b/>
                <w:bCs/>
                <w:sz w:val="20"/>
                <w:szCs w:val="20"/>
              </w:rPr>
              <w:t>PROJEKCIJA 2022</w:t>
            </w:r>
          </w:p>
        </w:tc>
      </w:tr>
      <w:tr w:rsidR="00ED705B" w:rsidRPr="006E0AFE" w14:paraId="1E09731C" w14:textId="77777777" w:rsidTr="00845179">
        <w:trPr>
          <w:trHeight w:val="276"/>
        </w:trPr>
        <w:tc>
          <w:tcPr>
            <w:tcW w:w="3196" w:type="dxa"/>
            <w:vMerge/>
            <w:vAlign w:val="center"/>
            <w:hideMark/>
          </w:tcPr>
          <w:p w14:paraId="36B0744B" w14:textId="77777777" w:rsidR="00ED705B" w:rsidRPr="006E0AFE" w:rsidRDefault="00ED705B" w:rsidP="00ED705B">
            <w:pPr>
              <w:rPr>
                <w:b/>
                <w:bCs/>
                <w:sz w:val="20"/>
                <w:szCs w:val="20"/>
              </w:rPr>
            </w:pPr>
          </w:p>
        </w:tc>
        <w:tc>
          <w:tcPr>
            <w:tcW w:w="1469" w:type="dxa"/>
            <w:vMerge/>
            <w:vAlign w:val="center"/>
            <w:hideMark/>
          </w:tcPr>
          <w:p w14:paraId="2A6A3E75" w14:textId="77777777" w:rsidR="00ED705B" w:rsidRPr="006E0AFE" w:rsidRDefault="00ED705B" w:rsidP="00ED705B">
            <w:pPr>
              <w:rPr>
                <w:b/>
                <w:bCs/>
                <w:sz w:val="20"/>
                <w:szCs w:val="20"/>
              </w:rPr>
            </w:pPr>
          </w:p>
        </w:tc>
        <w:tc>
          <w:tcPr>
            <w:tcW w:w="1415" w:type="dxa"/>
            <w:vMerge/>
            <w:vAlign w:val="center"/>
            <w:hideMark/>
          </w:tcPr>
          <w:p w14:paraId="48EAE6D8" w14:textId="77777777" w:rsidR="00ED705B" w:rsidRPr="006E0AFE" w:rsidRDefault="00ED705B" w:rsidP="00ED705B">
            <w:pPr>
              <w:rPr>
                <w:b/>
                <w:bCs/>
                <w:sz w:val="20"/>
                <w:szCs w:val="20"/>
              </w:rPr>
            </w:pPr>
          </w:p>
        </w:tc>
        <w:tc>
          <w:tcPr>
            <w:tcW w:w="1072" w:type="dxa"/>
            <w:vMerge/>
            <w:vAlign w:val="center"/>
            <w:hideMark/>
          </w:tcPr>
          <w:p w14:paraId="76A6CC39" w14:textId="77777777" w:rsidR="00ED705B" w:rsidRPr="006E0AFE" w:rsidRDefault="00ED705B" w:rsidP="00ED705B">
            <w:pPr>
              <w:rPr>
                <w:b/>
                <w:bCs/>
                <w:sz w:val="20"/>
                <w:szCs w:val="20"/>
              </w:rPr>
            </w:pPr>
          </w:p>
        </w:tc>
        <w:tc>
          <w:tcPr>
            <w:tcW w:w="1494" w:type="dxa"/>
            <w:vMerge/>
            <w:vAlign w:val="center"/>
            <w:hideMark/>
          </w:tcPr>
          <w:p w14:paraId="77F5AC27" w14:textId="77777777" w:rsidR="00ED705B" w:rsidRPr="006E0AFE" w:rsidRDefault="00ED705B" w:rsidP="00ED705B">
            <w:pPr>
              <w:rPr>
                <w:b/>
                <w:bCs/>
                <w:sz w:val="20"/>
                <w:szCs w:val="20"/>
              </w:rPr>
            </w:pPr>
          </w:p>
        </w:tc>
        <w:tc>
          <w:tcPr>
            <w:tcW w:w="1494" w:type="dxa"/>
            <w:vMerge/>
            <w:vAlign w:val="center"/>
            <w:hideMark/>
          </w:tcPr>
          <w:p w14:paraId="26DA4157" w14:textId="77777777" w:rsidR="00ED705B" w:rsidRPr="006E0AFE" w:rsidRDefault="00ED705B" w:rsidP="00ED705B">
            <w:pPr>
              <w:rPr>
                <w:b/>
                <w:bCs/>
                <w:sz w:val="20"/>
                <w:szCs w:val="20"/>
              </w:rPr>
            </w:pPr>
          </w:p>
        </w:tc>
      </w:tr>
      <w:tr w:rsidR="00ED705B" w:rsidRPr="006E0AFE" w14:paraId="10157FD1" w14:textId="77777777" w:rsidTr="00845179">
        <w:trPr>
          <w:trHeight w:val="525"/>
        </w:trPr>
        <w:tc>
          <w:tcPr>
            <w:tcW w:w="3196" w:type="dxa"/>
            <w:shd w:val="clear" w:color="000000" w:fill="C5D9F1"/>
            <w:vAlign w:val="center"/>
            <w:hideMark/>
          </w:tcPr>
          <w:p w14:paraId="6B91BE1B" w14:textId="77777777" w:rsidR="00ED705B" w:rsidRPr="006E0AFE" w:rsidRDefault="00ED705B" w:rsidP="00ED705B">
            <w:pPr>
              <w:jc w:val="center"/>
              <w:rPr>
                <w:b/>
                <w:bCs/>
                <w:sz w:val="20"/>
                <w:szCs w:val="20"/>
              </w:rPr>
            </w:pPr>
            <w:r w:rsidRPr="006E0AFE">
              <w:rPr>
                <w:b/>
                <w:bCs/>
                <w:sz w:val="20"/>
                <w:szCs w:val="20"/>
              </w:rPr>
              <w:t>1. PREDSTAVNIČKO I IZVRŠNO TIJELO</w:t>
            </w:r>
          </w:p>
        </w:tc>
        <w:tc>
          <w:tcPr>
            <w:tcW w:w="1469" w:type="dxa"/>
            <w:shd w:val="clear" w:color="000000" w:fill="C5D9F1"/>
            <w:vAlign w:val="center"/>
            <w:hideMark/>
          </w:tcPr>
          <w:p w14:paraId="5136EFD8" w14:textId="77777777" w:rsidR="00ED705B" w:rsidRPr="006E0AFE" w:rsidRDefault="00ED705B" w:rsidP="00ED705B">
            <w:pPr>
              <w:jc w:val="right"/>
              <w:rPr>
                <w:b/>
                <w:bCs/>
                <w:sz w:val="20"/>
                <w:szCs w:val="20"/>
              </w:rPr>
            </w:pPr>
            <w:r w:rsidRPr="006E0AFE">
              <w:rPr>
                <w:b/>
                <w:bCs/>
                <w:sz w:val="20"/>
                <w:szCs w:val="20"/>
              </w:rPr>
              <w:t>3.316.044</w:t>
            </w:r>
          </w:p>
        </w:tc>
        <w:tc>
          <w:tcPr>
            <w:tcW w:w="1415" w:type="dxa"/>
            <w:shd w:val="clear" w:color="000000" w:fill="C5D9F1"/>
            <w:vAlign w:val="center"/>
            <w:hideMark/>
          </w:tcPr>
          <w:p w14:paraId="439C09CF" w14:textId="77777777" w:rsidR="00ED705B" w:rsidRPr="006E0AFE" w:rsidRDefault="00ED705B" w:rsidP="00ED705B">
            <w:pPr>
              <w:jc w:val="right"/>
              <w:rPr>
                <w:b/>
                <w:bCs/>
                <w:sz w:val="20"/>
                <w:szCs w:val="20"/>
              </w:rPr>
            </w:pPr>
            <w:r w:rsidRPr="006E0AFE">
              <w:rPr>
                <w:b/>
                <w:bCs/>
                <w:sz w:val="20"/>
                <w:szCs w:val="20"/>
              </w:rPr>
              <w:t>2.530.280</w:t>
            </w:r>
          </w:p>
        </w:tc>
        <w:tc>
          <w:tcPr>
            <w:tcW w:w="1072" w:type="dxa"/>
            <w:shd w:val="clear" w:color="000000" w:fill="C5D9F1"/>
            <w:vAlign w:val="center"/>
            <w:hideMark/>
          </w:tcPr>
          <w:p w14:paraId="543129F5" w14:textId="77777777" w:rsidR="00ED705B" w:rsidRPr="006E0AFE" w:rsidRDefault="00ED705B" w:rsidP="00ED705B">
            <w:pPr>
              <w:jc w:val="center"/>
              <w:rPr>
                <w:b/>
                <w:bCs/>
                <w:sz w:val="20"/>
                <w:szCs w:val="20"/>
              </w:rPr>
            </w:pPr>
            <w:r w:rsidRPr="006E0AFE">
              <w:rPr>
                <w:b/>
                <w:bCs/>
                <w:sz w:val="20"/>
                <w:szCs w:val="20"/>
              </w:rPr>
              <w:t>76,3</w:t>
            </w:r>
          </w:p>
        </w:tc>
        <w:tc>
          <w:tcPr>
            <w:tcW w:w="1494" w:type="dxa"/>
            <w:shd w:val="clear" w:color="000000" w:fill="C5D9F1"/>
            <w:vAlign w:val="center"/>
            <w:hideMark/>
          </w:tcPr>
          <w:p w14:paraId="7D237B16" w14:textId="77777777" w:rsidR="00ED705B" w:rsidRPr="006E0AFE" w:rsidRDefault="00ED705B" w:rsidP="00ED705B">
            <w:pPr>
              <w:jc w:val="right"/>
              <w:rPr>
                <w:b/>
                <w:bCs/>
                <w:sz w:val="20"/>
                <w:szCs w:val="20"/>
              </w:rPr>
            </w:pPr>
            <w:r w:rsidRPr="006E0AFE">
              <w:rPr>
                <w:b/>
                <w:bCs/>
                <w:sz w:val="20"/>
                <w:szCs w:val="20"/>
              </w:rPr>
              <w:t>2.230.155</w:t>
            </w:r>
          </w:p>
        </w:tc>
        <w:tc>
          <w:tcPr>
            <w:tcW w:w="1494" w:type="dxa"/>
            <w:shd w:val="clear" w:color="000000" w:fill="C5D9F1"/>
            <w:vAlign w:val="center"/>
            <w:hideMark/>
          </w:tcPr>
          <w:p w14:paraId="5535E816" w14:textId="77777777" w:rsidR="00ED705B" w:rsidRPr="006E0AFE" w:rsidRDefault="00ED705B" w:rsidP="00ED705B">
            <w:pPr>
              <w:jc w:val="right"/>
              <w:rPr>
                <w:b/>
                <w:bCs/>
                <w:sz w:val="20"/>
                <w:szCs w:val="20"/>
              </w:rPr>
            </w:pPr>
            <w:r w:rsidRPr="006E0AFE">
              <w:rPr>
                <w:b/>
                <w:bCs/>
                <w:sz w:val="20"/>
                <w:szCs w:val="20"/>
              </w:rPr>
              <w:t>2.230.155</w:t>
            </w:r>
          </w:p>
        </w:tc>
      </w:tr>
      <w:tr w:rsidR="00ED705B" w:rsidRPr="006E0AFE" w14:paraId="1D0F7251" w14:textId="77777777" w:rsidTr="00845179">
        <w:trPr>
          <w:trHeight w:val="525"/>
        </w:trPr>
        <w:tc>
          <w:tcPr>
            <w:tcW w:w="3196" w:type="dxa"/>
            <w:shd w:val="clear" w:color="auto" w:fill="auto"/>
            <w:vAlign w:val="center"/>
            <w:hideMark/>
          </w:tcPr>
          <w:p w14:paraId="23D53704" w14:textId="77777777" w:rsidR="00ED705B" w:rsidRPr="006E0AFE" w:rsidRDefault="00ED705B" w:rsidP="00ED705B">
            <w:pPr>
              <w:jc w:val="center"/>
              <w:rPr>
                <w:sz w:val="20"/>
                <w:szCs w:val="20"/>
              </w:rPr>
            </w:pPr>
            <w:r w:rsidRPr="006E0AFE">
              <w:rPr>
                <w:sz w:val="20"/>
                <w:szCs w:val="20"/>
              </w:rPr>
              <w:t>1.1.PREDSTAVNIČKO TIJELO-OPĆINSKO VIJEĆE</w:t>
            </w:r>
          </w:p>
        </w:tc>
        <w:tc>
          <w:tcPr>
            <w:tcW w:w="1469" w:type="dxa"/>
            <w:shd w:val="clear" w:color="auto" w:fill="auto"/>
            <w:vAlign w:val="center"/>
            <w:hideMark/>
          </w:tcPr>
          <w:p w14:paraId="45AC4FDF" w14:textId="77777777" w:rsidR="00ED705B" w:rsidRPr="006E0AFE" w:rsidRDefault="00ED705B" w:rsidP="00ED705B">
            <w:pPr>
              <w:jc w:val="right"/>
              <w:rPr>
                <w:sz w:val="20"/>
                <w:szCs w:val="20"/>
              </w:rPr>
            </w:pPr>
            <w:r w:rsidRPr="006E0AFE">
              <w:rPr>
                <w:sz w:val="20"/>
                <w:szCs w:val="20"/>
              </w:rPr>
              <w:t>796.200</w:t>
            </w:r>
          </w:p>
        </w:tc>
        <w:tc>
          <w:tcPr>
            <w:tcW w:w="1415" w:type="dxa"/>
            <w:shd w:val="clear" w:color="auto" w:fill="auto"/>
            <w:vAlign w:val="center"/>
            <w:hideMark/>
          </w:tcPr>
          <w:p w14:paraId="7E80F96C" w14:textId="77777777" w:rsidR="00ED705B" w:rsidRPr="006E0AFE" w:rsidRDefault="00ED705B" w:rsidP="00ED705B">
            <w:pPr>
              <w:jc w:val="right"/>
              <w:rPr>
                <w:sz w:val="20"/>
                <w:szCs w:val="20"/>
              </w:rPr>
            </w:pPr>
            <w:r w:rsidRPr="006E0AFE">
              <w:rPr>
                <w:sz w:val="20"/>
                <w:szCs w:val="20"/>
              </w:rPr>
              <w:t>1.041.025</w:t>
            </w:r>
          </w:p>
        </w:tc>
        <w:tc>
          <w:tcPr>
            <w:tcW w:w="1072" w:type="dxa"/>
            <w:shd w:val="clear" w:color="auto" w:fill="auto"/>
            <w:vAlign w:val="center"/>
            <w:hideMark/>
          </w:tcPr>
          <w:p w14:paraId="34ED9527" w14:textId="77777777" w:rsidR="00ED705B" w:rsidRPr="006E0AFE" w:rsidRDefault="00ED705B" w:rsidP="00ED705B">
            <w:pPr>
              <w:jc w:val="center"/>
              <w:rPr>
                <w:sz w:val="20"/>
                <w:szCs w:val="20"/>
              </w:rPr>
            </w:pPr>
            <w:r w:rsidRPr="006E0AFE">
              <w:rPr>
                <w:sz w:val="20"/>
                <w:szCs w:val="20"/>
              </w:rPr>
              <w:t>130,7</w:t>
            </w:r>
          </w:p>
        </w:tc>
        <w:tc>
          <w:tcPr>
            <w:tcW w:w="1494" w:type="dxa"/>
            <w:shd w:val="clear" w:color="auto" w:fill="auto"/>
            <w:vAlign w:val="center"/>
            <w:hideMark/>
          </w:tcPr>
          <w:p w14:paraId="197FC8D2" w14:textId="77777777" w:rsidR="00ED705B" w:rsidRPr="006E0AFE" w:rsidRDefault="00ED705B" w:rsidP="00ED705B">
            <w:pPr>
              <w:jc w:val="right"/>
              <w:rPr>
                <w:sz w:val="20"/>
                <w:szCs w:val="20"/>
              </w:rPr>
            </w:pPr>
            <w:r w:rsidRPr="006E0AFE">
              <w:rPr>
                <w:sz w:val="20"/>
                <w:szCs w:val="20"/>
              </w:rPr>
              <w:t>714.900</w:t>
            </w:r>
          </w:p>
        </w:tc>
        <w:tc>
          <w:tcPr>
            <w:tcW w:w="1494" w:type="dxa"/>
            <w:shd w:val="clear" w:color="auto" w:fill="auto"/>
            <w:vAlign w:val="center"/>
            <w:hideMark/>
          </w:tcPr>
          <w:p w14:paraId="5647D6FC" w14:textId="77777777" w:rsidR="00ED705B" w:rsidRPr="006E0AFE" w:rsidRDefault="00ED705B" w:rsidP="00ED705B">
            <w:pPr>
              <w:jc w:val="right"/>
              <w:rPr>
                <w:sz w:val="20"/>
                <w:szCs w:val="20"/>
              </w:rPr>
            </w:pPr>
            <w:r w:rsidRPr="006E0AFE">
              <w:rPr>
                <w:sz w:val="20"/>
                <w:szCs w:val="20"/>
              </w:rPr>
              <w:t>714.900</w:t>
            </w:r>
          </w:p>
        </w:tc>
      </w:tr>
      <w:tr w:rsidR="00ED705B" w:rsidRPr="006E0AFE" w14:paraId="48901391" w14:textId="77777777" w:rsidTr="00845179">
        <w:trPr>
          <w:trHeight w:val="525"/>
        </w:trPr>
        <w:tc>
          <w:tcPr>
            <w:tcW w:w="3196" w:type="dxa"/>
            <w:shd w:val="clear" w:color="auto" w:fill="auto"/>
            <w:vAlign w:val="center"/>
            <w:hideMark/>
          </w:tcPr>
          <w:p w14:paraId="74A14F0F" w14:textId="77777777" w:rsidR="00ED705B" w:rsidRPr="006E0AFE" w:rsidRDefault="00ED705B" w:rsidP="00ED705B">
            <w:pPr>
              <w:jc w:val="center"/>
              <w:rPr>
                <w:sz w:val="20"/>
                <w:szCs w:val="20"/>
              </w:rPr>
            </w:pPr>
            <w:r w:rsidRPr="006E0AFE">
              <w:rPr>
                <w:sz w:val="20"/>
                <w:szCs w:val="20"/>
              </w:rPr>
              <w:t>1.2. IZVRŠNO TIJELO-OPĆINSKI NAČELNIK</w:t>
            </w:r>
          </w:p>
        </w:tc>
        <w:tc>
          <w:tcPr>
            <w:tcW w:w="1469" w:type="dxa"/>
            <w:shd w:val="clear" w:color="auto" w:fill="auto"/>
            <w:vAlign w:val="center"/>
            <w:hideMark/>
          </w:tcPr>
          <w:p w14:paraId="6B62F725" w14:textId="77777777" w:rsidR="00ED705B" w:rsidRPr="006E0AFE" w:rsidRDefault="00ED705B" w:rsidP="00ED705B">
            <w:pPr>
              <w:jc w:val="right"/>
              <w:rPr>
                <w:sz w:val="20"/>
                <w:szCs w:val="20"/>
              </w:rPr>
            </w:pPr>
            <w:r w:rsidRPr="006E0AFE">
              <w:rPr>
                <w:sz w:val="20"/>
                <w:szCs w:val="20"/>
              </w:rPr>
              <w:t>1.186.120</w:t>
            </w:r>
          </w:p>
        </w:tc>
        <w:tc>
          <w:tcPr>
            <w:tcW w:w="1415" w:type="dxa"/>
            <w:shd w:val="clear" w:color="auto" w:fill="auto"/>
            <w:vAlign w:val="center"/>
            <w:hideMark/>
          </w:tcPr>
          <w:p w14:paraId="4EB03AA8" w14:textId="77777777" w:rsidR="00ED705B" w:rsidRPr="006E0AFE" w:rsidRDefault="00ED705B" w:rsidP="00ED705B">
            <w:pPr>
              <w:jc w:val="right"/>
              <w:rPr>
                <w:sz w:val="20"/>
                <w:szCs w:val="20"/>
              </w:rPr>
            </w:pPr>
            <w:r w:rsidRPr="006E0AFE">
              <w:rPr>
                <w:sz w:val="20"/>
                <w:szCs w:val="20"/>
              </w:rPr>
              <w:t>1.039.120</w:t>
            </w:r>
          </w:p>
        </w:tc>
        <w:tc>
          <w:tcPr>
            <w:tcW w:w="1072" w:type="dxa"/>
            <w:shd w:val="clear" w:color="auto" w:fill="auto"/>
            <w:vAlign w:val="center"/>
            <w:hideMark/>
          </w:tcPr>
          <w:p w14:paraId="59C70E61" w14:textId="77777777" w:rsidR="00ED705B" w:rsidRPr="006E0AFE" w:rsidRDefault="00ED705B" w:rsidP="00ED705B">
            <w:pPr>
              <w:jc w:val="center"/>
              <w:rPr>
                <w:sz w:val="20"/>
                <w:szCs w:val="20"/>
              </w:rPr>
            </w:pPr>
            <w:r w:rsidRPr="006E0AFE">
              <w:rPr>
                <w:sz w:val="20"/>
                <w:szCs w:val="20"/>
              </w:rPr>
              <w:t>87,6</w:t>
            </w:r>
          </w:p>
        </w:tc>
        <w:tc>
          <w:tcPr>
            <w:tcW w:w="1494" w:type="dxa"/>
            <w:shd w:val="clear" w:color="auto" w:fill="auto"/>
            <w:vAlign w:val="center"/>
            <w:hideMark/>
          </w:tcPr>
          <w:p w14:paraId="447F86CA" w14:textId="77777777" w:rsidR="00ED705B" w:rsidRPr="006E0AFE" w:rsidRDefault="00ED705B" w:rsidP="00ED705B">
            <w:pPr>
              <w:jc w:val="right"/>
              <w:rPr>
                <w:sz w:val="20"/>
                <w:szCs w:val="20"/>
              </w:rPr>
            </w:pPr>
            <w:r w:rsidRPr="006E0AFE">
              <w:rPr>
                <w:sz w:val="20"/>
                <w:szCs w:val="20"/>
              </w:rPr>
              <w:t>1.064.120</w:t>
            </w:r>
          </w:p>
        </w:tc>
        <w:tc>
          <w:tcPr>
            <w:tcW w:w="1494" w:type="dxa"/>
            <w:shd w:val="clear" w:color="auto" w:fill="auto"/>
            <w:vAlign w:val="center"/>
            <w:hideMark/>
          </w:tcPr>
          <w:p w14:paraId="6B62CE45" w14:textId="77777777" w:rsidR="00ED705B" w:rsidRPr="006E0AFE" w:rsidRDefault="00ED705B" w:rsidP="00ED705B">
            <w:pPr>
              <w:jc w:val="right"/>
              <w:rPr>
                <w:sz w:val="20"/>
                <w:szCs w:val="20"/>
              </w:rPr>
            </w:pPr>
            <w:r w:rsidRPr="006E0AFE">
              <w:rPr>
                <w:sz w:val="20"/>
                <w:szCs w:val="20"/>
              </w:rPr>
              <w:t>1.064.120</w:t>
            </w:r>
          </w:p>
        </w:tc>
      </w:tr>
      <w:tr w:rsidR="00ED705B" w:rsidRPr="006E0AFE" w14:paraId="693B7E70" w14:textId="77777777" w:rsidTr="00845179">
        <w:trPr>
          <w:trHeight w:val="270"/>
        </w:trPr>
        <w:tc>
          <w:tcPr>
            <w:tcW w:w="3196" w:type="dxa"/>
            <w:shd w:val="clear" w:color="auto" w:fill="auto"/>
            <w:vAlign w:val="center"/>
            <w:hideMark/>
          </w:tcPr>
          <w:p w14:paraId="5A4B8E19" w14:textId="77777777" w:rsidR="00ED705B" w:rsidRPr="006E0AFE" w:rsidRDefault="00ED705B" w:rsidP="00ED705B">
            <w:pPr>
              <w:jc w:val="center"/>
              <w:rPr>
                <w:sz w:val="20"/>
                <w:szCs w:val="20"/>
              </w:rPr>
            </w:pPr>
            <w:r w:rsidRPr="006E0AFE">
              <w:rPr>
                <w:sz w:val="20"/>
                <w:szCs w:val="20"/>
              </w:rPr>
              <w:t>1.3. NACIONALNE MANJINE</w:t>
            </w:r>
          </w:p>
        </w:tc>
        <w:tc>
          <w:tcPr>
            <w:tcW w:w="1469" w:type="dxa"/>
            <w:shd w:val="clear" w:color="auto" w:fill="auto"/>
            <w:vAlign w:val="center"/>
            <w:hideMark/>
          </w:tcPr>
          <w:p w14:paraId="1F97288E" w14:textId="77777777" w:rsidR="00ED705B" w:rsidRPr="006E0AFE" w:rsidRDefault="00ED705B" w:rsidP="00ED705B">
            <w:pPr>
              <w:jc w:val="right"/>
              <w:rPr>
                <w:sz w:val="20"/>
                <w:szCs w:val="20"/>
              </w:rPr>
            </w:pPr>
            <w:r w:rsidRPr="006E0AFE">
              <w:rPr>
                <w:sz w:val="20"/>
                <w:szCs w:val="20"/>
              </w:rPr>
              <w:t>94.211</w:t>
            </w:r>
          </w:p>
        </w:tc>
        <w:tc>
          <w:tcPr>
            <w:tcW w:w="1415" w:type="dxa"/>
            <w:shd w:val="clear" w:color="auto" w:fill="auto"/>
            <w:vAlign w:val="center"/>
            <w:hideMark/>
          </w:tcPr>
          <w:p w14:paraId="04FB9067" w14:textId="77777777" w:rsidR="00ED705B" w:rsidRPr="006E0AFE" w:rsidRDefault="00ED705B" w:rsidP="00ED705B">
            <w:pPr>
              <w:jc w:val="right"/>
              <w:rPr>
                <w:sz w:val="20"/>
                <w:szCs w:val="20"/>
              </w:rPr>
            </w:pPr>
            <w:r w:rsidRPr="006E0AFE">
              <w:rPr>
                <w:sz w:val="20"/>
                <w:szCs w:val="20"/>
              </w:rPr>
              <w:t>68.135</w:t>
            </w:r>
          </w:p>
        </w:tc>
        <w:tc>
          <w:tcPr>
            <w:tcW w:w="1072" w:type="dxa"/>
            <w:shd w:val="clear" w:color="auto" w:fill="auto"/>
            <w:vAlign w:val="center"/>
            <w:hideMark/>
          </w:tcPr>
          <w:p w14:paraId="41DF7777" w14:textId="77777777" w:rsidR="00ED705B" w:rsidRPr="006E0AFE" w:rsidRDefault="00ED705B" w:rsidP="00ED705B">
            <w:pPr>
              <w:jc w:val="center"/>
              <w:rPr>
                <w:sz w:val="20"/>
                <w:szCs w:val="20"/>
              </w:rPr>
            </w:pPr>
            <w:r w:rsidRPr="006E0AFE">
              <w:rPr>
                <w:sz w:val="20"/>
                <w:szCs w:val="20"/>
              </w:rPr>
              <w:t>72,3</w:t>
            </w:r>
          </w:p>
        </w:tc>
        <w:tc>
          <w:tcPr>
            <w:tcW w:w="1494" w:type="dxa"/>
            <w:shd w:val="clear" w:color="auto" w:fill="auto"/>
            <w:vAlign w:val="center"/>
            <w:hideMark/>
          </w:tcPr>
          <w:p w14:paraId="34F6E4FA" w14:textId="77777777" w:rsidR="00ED705B" w:rsidRPr="006E0AFE" w:rsidRDefault="00ED705B" w:rsidP="00ED705B">
            <w:pPr>
              <w:jc w:val="right"/>
              <w:rPr>
                <w:sz w:val="20"/>
                <w:szCs w:val="20"/>
              </w:rPr>
            </w:pPr>
            <w:r w:rsidRPr="006E0AFE">
              <w:rPr>
                <w:sz w:val="20"/>
                <w:szCs w:val="20"/>
              </w:rPr>
              <w:t>68.135</w:t>
            </w:r>
          </w:p>
        </w:tc>
        <w:tc>
          <w:tcPr>
            <w:tcW w:w="1494" w:type="dxa"/>
            <w:shd w:val="clear" w:color="auto" w:fill="auto"/>
            <w:vAlign w:val="center"/>
            <w:hideMark/>
          </w:tcPr>
          <w:p w14:paraId="7EBB0F00" w14:textId="77777777" w:rsidR="00ED705B" w:rsidRPr="006E0AFE" w:rsidRDefault="00ED705B" w:rsidP="00ED705B">
            <w:pPr>
              <w:jc w:val="right"/>
              <w:rPr>
                <w:sz w:val="20"/>
                <w:szCs w:val="20"/>
              </w:rPr>
            </w:pPr>
            <w:r w:rsidRPr="006E0AFE">
              <w:rPr>
                <w:sz w:val="20"/>
                <w:szCs w:val="20"/>
              </w:rPr>
              <w:t>68.135</w:t>
            </w:r>
          </w:p>
        </w:tc>
      </w:tr>
      <w:tr w:rsidR="00ED705B" w:rsidRPr="006E0AFE" w14:paraId="3BEE0F7F" w14:textId="77777777" w:rsidTr="00845179">
        <w:trPr>
          <w:trHeight w:val="270"/>
        </w:trPr>
        <w:tc>
          <w:tcPr>
            <w:tcW w:w="3196" w:type="dxa"/>
            <w:shd w:val="clear" w:color="auto" w:fill="auto"/>
            <w:vAlign w:val="center"/>
            <w:hideMark/>
          </w:tcPr>
          <w:p w14:paraId="2A6E903D" w14:textId="77777777" w:rsidR="00ED705B" w:rsidRPr="006E0AFE" w:rsidRDefault="00ED705B" w:rsidP="00ED705B">
            <w:pPr>
              <w:jc w:val="center"/>
              <w:rPr>
                <w:sz w:val="20"/>
                <w:szCs w:val="20"/>
              </w:rPr>
            </w:pPr>
            <w:r w:rsidRPr="006E0AFE">
              <w:rPr>
                <w:sz w:val="20"/>
                <w:szCs w:val="20"/>
              </w:rPr>
              <w:t>1.4. MJESNA SAMOUPRAVA</w:t>
            </w:r>
          </w:p>
        </w:tc>
        <w:tc>
          <w:tcPr>
            <w:tcW w:w="1469" w:type="dxa"/>
            <w:shd w:val="clear" w:color="auto" w:fill="auto"/>
            <w:vAlign w:val="center"/>
            <w:hideMark/>
          </w:tcPr>
          <w:p w14:paraId="6EA0502B" w14:textId="77777777" w:rsidR="00ED705B" w:rsidRPr="006E0AFE" w:rsidRDefault="00ED705B" w:rsidP="00ED705B">
            <w:pPr>
              <w:jc w:val="right"/>
              <w:rPr>
                <w:sz w:val="20"/>
                <w:szCs w:val="20"/>
              </w:rPr>
            </w:pPr>
            <w:r w:rsidRPr="006E0AFE">
              <w:rPr>
                <w:sz w:val="20"/>
                <w:szCs w:val="20"/>
              </w:rPr>
              <w:t>1.239.513</w:t>
            </w:r>
          </w:p>
        </w:tc>
        <w:tc>
          <w:tcPr>
            <w:tcW w:w="1415" w:type="dxa"/>
            <w:shd w:val="clear" w:color="auto" w:fill="auto"/>
            <w:vAlign w:val="center"/>
            <w:hideMark/>
          </w:tcPr>
          <w:p w14:paraId="173083ED" w14:textId="77777777" w:rsidR="00ED705B" w:rsidRPr="006E0AFE" w:rsidRDefault="00ED705B" w:rsidP="00ED705B">
            <w:pPr>
              <w:jc w:val="right"/>
              <w:rPr>
                <w:sz w:val="20"/>
                <w:szCs w:val="20"/>
              </w:rPr>
            </w:pPr>
            <w:r w:rsidRPr="006E0AFE">
              <w:rPr>
                <w:sz w:val="20"/>
                <w:szCs w:val="20"/>
              </w:rPr>
              <w:t>382.000</w:t>
            </w:r>
          </w:p>
        </w:tc>
        <w:tc>
          <w:tcPr>
            <w:tcW w:w="1072" w:type="dxa"/>
            <w:shd w:val="clear" w:color="auto" w:fill="auto"/>
            <w:vAlign w:val="center"/>
            <w:hideMark/>
          </w:tcPr>
          <w:p w14:paraId="3B41C9C7" w14:textId="77777777" w:rsidR="00ED705B" w:rsidRPr="006E0AFE" w:rsidRDefault="00ED705B" w:rsidP="00ED705B">
            <w:pPr>
              <w:jc w:val="center"/>
              <w:rPr>
                <w:sz w:val="20"/>
                <w:szCs w:val="20"/>
              </w:rPr>
            </w:pPr>
            <w:r w:rsidRPr="006E0AFE">
              <w:rPr>
                <w:sz w:val="20"/>
                <w:szCs w:val="20"/>
              </w:rPr>
              <w:t>30,8</w:t>
            </w:r>
          </w:p>
        </w:tc>
        <w:tc>
          <w:tcPr>
            <w:tcW w:w="1494" w:type="dxa"/>
            <w:shd w:val="clear" w:color="auto" w:fill="auto"/>
            <w:vAlign w:val="center"/>
            <w:hideMark/>
          </w:tcPr>
          <w:p w14:paraId="65E6B759" w14:textId="77777777" w:rsidR="00ED705B" w:rsidRPr="006E0AFE" w:rsidRDefault="00ED705B" w:rsidP="00ED705B">
            <w:pPr>
              <w:jc w:val="right"/>
              <w:rPr>
                <w:sz w:val="20"/>
                <w:szCs w:val="20"/>
              </w:rPr>
            </w:pPr>
            <w:r w:rsidRPr="006E0AFE">
              <w:rPr>
                <w:sz w:val="20"/>
                <w:szCs w:val="20"/>
              </w:rPr>
              <w:t>383.000</w:t>
            </w:r>
          </w:p>
        </w:tc>
        <w:tc>
          <w:tcPr>
            <w:tcW w:w="1494" w:type="dxa"/>
            <w:shd w:val="clear" w:color="auto" w:fill="auto"/>
            <w:vAlign w:val="center"/>
            <w:hideMark/>
          </w:tcPr>
          <w:p w14:paraId="5F14CC4A" w14:textId="77777777" w:rsidR="00ED705B" w:rsidRPr="006E0AFE" w:rsidRDefault="00ED705B" w:rsidP="00ED705B">
            <w:pPr>
              <w:jc w:val="right"/>
              <w:rPr>
                <w:sz w:val="20"/>
                <w:szCs w:val="20"/>
              </w:rPr>
            </w:pPr>
            <w:r w:rsidRPr="006E0AFE">
              <w:rPr>
                <w:sz w:val="20"/>
                <w:szCs w:val="20"/>
              </w:rPr>
              <w:t>383.000</w:t>
            </w:r>
          </w:p>
        </w:tc>
      </w:tr>
      <w:tr w:rsidR="00ED705B" w:rsidRPr="006E0AFE" w14:paraId="11284DBD" w14:textId="77777777" w:rsidTr="00845179">
        <w:trPr>
          <w:trHeight w:val="270"/>
        </w:trPr>
        <w:tc>
          <w:tcPr>
            <w:tcW w:w="3196" w:type="dxa"/>
            <w:shd w:val="clear" w:color="000000" w:fill="C5D9F1"/>
            <w:vAlign w:val="center"/>
            <w:hideMark/>
          </w:tcPr>
          <w:p w14:paraId="36D54218" w14:textId="77777777" w:rsidR="00ED705B" w:rsidRPr="006E0AFE" w:rsidRDefault="00ED705B" w:rsidP="00ED705B">
            <w:pPr>
              <w:jc w:val="center"/>
              <w:rPr>
                <w:b/>
                <w:bCs/>
                <w:sz w:val="20"/>
                <w:szCs w:val="20"/>
              </w:rPr>
            </w:pPr>
            <w:r w:rsidRPr="006E0AFE">
              <w:rPr>
                <w:b/>
                <w:bCs/>
                <w:sz w:val="20"/>
                <w:szCs w:val="20"/>
              </w:rPr>
              <w:t>2. JEDINSTVENI UPRAVNI ODJEL</w:t>
            </w:r>
          </w:p>
        </w:tc>
        <w:tc>
          <w:tcPr>
            <w:tcW w:w="1469" w:type="dxa"/>
            <w:shd w:val="clear" w:color="000000" w:fill="C5D9F1"/>
            <w:vAlign w:val="center"/>
            <w:hideMark/>
          </w:tcPr>
          <w:p w14:paraId="2E556D15" w14:textId="77777777" w:rsidR="00ED705B" w:rsidRPr="006E0AFE" w:rsidRDefault="00ED705B" w:rsidP="00ED705B">
            <w:pPr>
              <w:jc w:val="right"/>
              <w:rPr>
                <w:b/>
                <w:bCs/>
                <w:sz w:val="20"/>
                <w:szCs w:val="20"/>
              </w:rPr>
            </w:pPr>
            <w:r w:rsidRPr="006E0AFE">
              <w:rPr>
                <w:b/>
                <w:bCs/>
                <w:sz w:val="20"/>
                <w:szCs w:val="20"/>
              </w:rPr>
              <w:t>112.973.623</w:t>
            </w:r>
          </w:p>
        </w:tc>
        <w:tc>
          <w:tcPr>
            <w:tcW w:w="1415" w:type="dxa"/>
            <w:shd w:val="clear" w:color="000000" w:fill="C5D9F1"/>
            <w:vAlign w:val="center"/>
            <w:hideMark/>
          </w:tcPr>
          <w:p w14:paraId="1E469AB8" w14:textId="77777777" w:rsidR="00ED705B" w:rsidRPr="006E0AFE" w:rsidRDefault="00ED705B" w:rsidP="00ED705B">
            <w:pPr>
              <w:jc w:val="right"/>
              <w:rPr>
                <w:b/>
                <w:bCs/>
                <w:sz w:val="20"/>
                <w:szCs w:val="20"/>
              </w:rPr>
            </w:pPr>
            <w:r w:rsidRPr="006E0AFE">
              <w:rPr>
                <w:b/>
                <w:bCs/>
                <w:sz w:val="20"/>
                <w:szCs w:val="20"/>
              </w:rPr>
              <w:t>90.119.550</w:t>
            </w:r>
          </w:p>
        </w:tc>
        <w:tc>
          <w:tcPr>
            <w:tcW w:w="1072" w:type="dxa"/>
            <w:shd w:val="clear" w:color="000000" w:fill="C5D9F1"/>
            <w:vAlign w:val="center"/>
            <w:hideMark/>
          </w:tcPr>
          <w:p w14:paraId="15AA4164" w14:textId="77777777" w:rsidR="00ED705B" w:rsidRPr="006E0AFE" w:rsidRDefault="00ED705B" w:rsidP="00ED705B">
            <w:pPr>
              <w:jc w:val="center"/>
              <w:rPr>
                <w:b/>
                <w:bCs/>
                <w:sz w:val="20"/>
                <w:szCs w:val="20"/>
              </w:rPr>
            </w:pPr>
            <w:r w:rsidRPr="006E0AFE">
              <w:rPr>
                <w:b/>
                <w:bCs/>
                <w:sz w:val="20"/>
                <w:szCs w:val="20"/>
              </w:rPr>
              <w:t>79,8</w:t>
            </w:r>
          </w:p>
        </w:tc>
        <w:tc>
          <w:tcPr>
            <w:tcW w:w="1494" w:type="dxa"/>
            <w:shd w:val="clear" w:color="000000" w:fill="C5D9F1"/>
            <w:vAlign w:val="center"/>
            <w:hideMark/>
          </w:tcPr>
          <w:p w14:paraId="3F9B43D0" w14:textId="77777777" w:rsidR="00ED705B" w:rsidRPr="006E0AFE" w:rsidRDefault="00ED705B" w:rsidP="00ED705B">
            <w:pPr>
              <w:jc w:val="right"/>
              <w:rPr>
                <w:b/>
                <w:bCs/>
                <w:sz w:val="20"/>
                <w:szCs w:val="20"/>
              </w:rPr>
            </w:pPr>
            <w:r w:rsidRPr="006E0AFE">
              <w:rPr>
                <w:b/>
                <w:bCs/>
                <w:sz w:val="20"/>
                <w:szCs w:val="20"/>
              </w:rPr>
              <w:t>76.878.950</w:t>
            </w:r>
          </w:p>
        </w:tc>
        <w:tc>
          <w:tcPr>
            <w:tcW w:w="1494" w:type="dxa"/>
            <w:shd w:val="clear" w:color="000000" w:fill="C5D9F1"/>
            <w:vAlign w:val="center"/>
            <w:hideMark/>
          </w:tcPr>
          <w:p w14:paraId="42855C07" w14:textId="77777777" w:rsidR="00ED705B" w:rsidRPr="006E0AFE" w:rsidRDefault="00ED705B" w:rsidP="00ED705B">
            <w:pPr>
              <w:jc w:val="right"/>
              <w:rPr>
                <w:b/>
                <w:bCs/>
                <w:sz w:val="20"/>
                <w:szCs w:val="20"/>
              </w:rPr>
            </w:pPr>
            <w:r w:rsidRPr="006E0AFE">
              <w:rPr>
                <w:b/>
                <w:bCs/>
                <w:sz w:val="20"/>
                <w:szCs w:val="20"/>
              </w:rPr>
              <w:t>77.342.875</w:t>
            </w:r>
          </w:p>
        </w:tc>
      </w:tr>
      <w:tr w:rsidR="00ED705B" w:rsidRPr="006E0AFE" w14:paraId="68DF4C36" w14:textId="77777777" w:rsidTr="00845179">
        <w:trPr>
          <w:trHeight w:val="525"/>
        </w:trPr>
        <w:tc>
          <w:tcPr>
            <w:tcW w:w="3196" w:type="dxa"/>
            <w:shd w:val="clear" w:color="auto" w:fill="auto"/>
            <w:vAlign w:val="center"/>
            <w:hideMark/>
          </w:tcPr>
          <w:p w14:paraId="523B134A" w14:textId="77777777" w:rsidR="00ED705B" w:rsidRPr="006E0AFE" w:rsidRDefault="00ED705B" w:rsidP="00ED705B">
            <w:pPr>
              <w:jc w:val="center"/>
              <w:rPr>
                <w:b/>
                <w:bCs/>
                <w:sz w:val="20"/>
                <w:szCs w:val="20"/>
              </w:rPr>
            </w:pPr>
            <w:r w:rsidRPr="006E0AFE">
              <w:rPr>
                <w:b/>
                <w:bCs/>
                <w:sz w:val="20"/>
                <w:szCs w:val="20"/>
              </w:rPr>
              <w:t>2.1. PRORAČUNSKI KORISNIK DJEČJI VRTIĆ MATULJI</w:t>
            </w:r>
          </w:p>
        </w:tc>
        <w:tc>
          <w:tcPr>
            <w:tcW w:w="1469" w:type="dxa"/>
            <w:shd w:val="clear" w:color="auto" w:fill="auto"/>
            <w:vAlign w:val="center"/>
            <w:hideMark/>
          </w:tcPr>
          <w:p w14:paraId="3F5FF099" w14:textId="77777777" w:rsidR="00ED705B" w:rsidRPr="006E0AFE" w:rsidRDefault="00ED705B" w:rsidP="00ED705B">
            <w:pPr>
              <w:jc w:val="right"/>
              <w:rPr>
                <w:b/>
                <w:bCs/>
                <w:sz w:val="20"/>
                <w:szCs w:val="20"/>
              </w:rPr>
            </w:pPr>
            <w:r w:rsidRPr="006E0AFE">
              <w:rPr>
                <w:b/>
                <w:bCs/>
                <w:sz w:val="20"/>
                <w:szCs w:val="20"/>
              </w:rPr>
              <w:t>11.481.204</w:t>
            </w:r>
          </w:p>
        </w:tc>
        <w:tc>
          <w:tcPr>
            <w:tcW w:w="1415" w:type="dxa"/>
            <w:shd w:val="clear" w:color="auto" w:fill="auto"/>
            <w:vAlign w:val="center"/>
            <w:hideMark/>
          </w:tcPr>
          <w:p w14:paraId="5E9DFAF1" w14:textId="77777777" w:rsidR="00ED705B" w:rsidRPr="006E0AFE" w:rsidRDefault="00ED705B" w:rsidP="00ED705B">
            <w:pPr>
              <w:jc w:val="right"/>
              <w:rPr>
                <w:b/>
                <w:bCs/>
                <w:sz w:val="20"/>
                <w:szCs w:val="20"/>
              </w:rPr>
            </w:pPr>
            <w:r w:rsidRPr="006E0AFE">
              <w:rPr>
                <w:b/>
                <w:bCs/>
                <w:sz w:val="20"/>
                <w:szCs w:val="20"/>
              </w:rPr>
              <w:t>11.868.200</w:t>
            </w:r>
          </w:p>
        </w:tc>
        <w:tc>
          <w:tcPr>
            <w:tcW w:w="1072" w:type="dxa"/>
            <w:shd w:val="clear" w:color="auto" w:fill="auto"/>
            <w:vAlign w:val="center"/>
            <w:hideMark/>
          </w:tcPr>
          <w:p w14:paraId="6DB0D5D3" w14:textId="77777777" w:rsidR="00ED705B" w:rsidRPr="006E0AFE" w:rsidRDefault="00ED705B" w:rsidP="00ED705B">
            <w:pPr>
              <w:jc w:val="center"/>
              <w:rPr>
                <w:b/>
                <w:bCs/>
                <w:sz w:val="20"/>
                <w:szCs w:val="20"/>
              </w:rPr>
            </w:pPr>
            <w:r w:rsidRPr="006E0AFE">
              <w:rPr>
                <w:b/>
                <w:bCs/>
                <w:sz w:val="20"/>
                <w:szCs w:val="20"/>
              </w:rPr>
              <w:t>103,4</w:t>
            </w:r>
          </w:p>
        </w:tc>
        <w:tc>
          <w:tcPr>
            <w:tcW w:w="1494" w:type="dxa"/>
            <w:shd w:val="clear" w:color="auto" w:fill="auto"/>
            <w:vAlign w:val="center"/>
            <w:hideMark/>
          </w:tcPr>
          <w:p w14:paraId="3407FD88" w14:textId="77777777" w:rsidR="00ED705B" w:rsidRPr="006E0AFE" w:rsidRDefault="00ED705B" w:rsidP="00ED705B">
            <w:pPr>
              <w:jc w:val="right"/>
              <w:rPr>
                <w:b/>
                <w:bCs/>
                <w:sz w:val="20"/>
                <w:szCs w:val="20"/>
              </w:rPr>
            </w:pPr>
            <w:r w:rsidRPr="006E0AFE">
              <w:rPr>
                <w:b/>
                <w:bCs/>
                <w:sz w:val="20"/>
                <w:szCs w:val="20"/>
              </w:rPr>
              <w:t>11.616.800</w:t>
            </w:r>
          </w:p>
        </w:tc>
        <w:tc>
          <w:tcPr>
            <w:tcW w:w="1494" w:type="dxa"/>
            <w:shd w:val="clear" w:color="auto" w:fill="auto"/>
            <w:vAlign w:val="center"/>
            <w:hideMark/>
          </w:tcPr>
          <w:p w14:paraId="31962A3E" w14:textId="77777777" w:rsidR="00ED705B" w:rsidRPr="006E0AFE" w:rsidRDefault="00ED705B" w:rsidP="00ED705B">
            <w:pPr>
              <w:jc w:val="right"/>
              <w:rPr>
                <w:b/>
                <w:bCs/>
                <w:sz w:val="20"/>
                <w:szCs w:val="20"/>
              </w:rPr>
            </w:pPr>
            <w:r w:rsidRPr="006E0AFE">
              <w:rPr>
                <w:b/>
                <w:bCs/>
                <w:sz w:val="20"/>
                <w:szCs w:val="20"/>
              </w:rPr>
              <w:t>11.616.800</w:t>
            </w:r>
          </w:p>
        </w:tc>
      </w:tr>
      <w:tr w:rsidR="00ED705B" w:rsidRPr="006E0AFE" w14:paraId="2747D814" w14:textId="77777777" w:rsidTr="00845179">
        <w:trPr>
          <w:trHeight w:val="270"/>
        </w:trPr>
        <w:tc>
          <w:tcPr>
            <w:tcW w:w="3196" w:type="dxa"/>
            <w:shd w:val="clear" w:color="auto" w:fill="auto"/>
            <w:vAlign w:val="center"/>
            <w:hideMark/>
          </w:tcPr>
          <w:p w14:paraId="597B9C97" w14:textId="77777777" w:rsidR="00ED705B" w:rsidRPr="006E0AFE" w:rsidRDefault="00ED705B" w:rsidP="00ED705B">
            <w:pPr>
              <w:jc w:val="center"/>
              <w:rPr>
                <w:sz w:val="20"/>
                <w:szCs w:val="20"/>
              </w:rPr>
            </w:pPr>
            <w:r w:rsidRPr="006E0AFE">
              <w:rPr>
                <w:sz w:val="20"/>
                <w:szCs w:val="20"/>
              </w:rPr>
              <w:t xml:space="preserve">2.1.1. REDOVNI PROGRAM </w:t>
            </w:r>
          </w:p>
        </w:tc>
        <w:tc>
          <w:tcPr>
            <w:tcW w:w="1469" w:type="dxa"/>
            <w:shd w:val="clear" w:color="auto" w:fill="auto"/>
            <w:vAlign w:val="center"/>
            <w:hideMark/>
          </w:tcPr>
          <w:p w14:paraId="7633390D" w14:textId="77777777" w:rsidR="00ED705B" w:rsidRPr="006E0AFE" w:rsidRDefault="00ED705B" w:rsidP="00ED705B">
            <w:pPr>
              <w:jc w:val="right"/>
              <w:rPr>
                <w:sz w:val="20"/>
                <w:szCs w:val="20"/>
              </w:rPr>
            </w:pPr>
            <w:r w:rsidRPr="006E0AFE">
              <w:rPr>
                <w:sz w:val="20"/>
                <w:szCs w:val="20"/>
              </w:rPr>
              <w:t>10.124.057</w:t>
            </w:r>
          </w:p>
        </w:tc>
        <w:tc>
          <w:tcPr>
            <w:tcW w:w="1415" w:type="dxa"/>
            <w:shd w:val="clear" w:color="auto" w:fill="auto"/>
            <w:vAlign w:val="center"/>
            <w:hideMark/>
          </w:tcPr>
          <w:p w14:paraId="26208CA7" w14:textId="77777777" w:rsidR="00ED705B" w:rsidRPr="006E0AFE" w:rsidRDefault="00ED705B" w:rsidP="00ED705B">
            <w:pPr>
              <w:jc w:val="right"/>
              <w:rPr>
                <w:sz w:val="20"/>
                <w:szCs w:val="20"/>
              </w:rPr>
            </w:pPr>
            <w:r w:rsidRPr="006E0AFE">
              <w:rPr>
                <w:sz w:val="20"/>
                <w:szCs w:val="20"/>
              </w:rPr>
              <w:t>11.416.800</w:t>
            </w:r>
          </w:p>
        </w:tc>
        <w:tc>
          <w:tcPr>
            <w:tcW w:w="1072" w:type="dxa"/>
            <w:shd w:val="clear" w:color="auto" w:fill="auto"/>
            <w:vAlign w:val="center"/>
            <w:hideMark/>
          </w:tcPr>
          <w:p w14:paraId="49C0AFEB" w14:textId="77777777" w:rsidR="00ED705B" w:rsidRPr="006E0AFE" w:rsidRDefault="00ED705B" w:rsidP="00ED705B">
            <w:pPr>
              <w:jc w:val="center"/>
              <w:rPr>
                <w:sz w:val="20"/>
                <w:szCs w:val="20"/>
              </w:rPr>
            </w:pPr>
            <w:r w:rsidRPr="006E0AFE">
              <w:rPr>
                <w:sz w:val="20"/>
                <w:szCs w:val="20"/>
              </w:rPr>
              <w:t>112,8</w:t>
            </w:r>
          </w:p>
        </w:tc>
        <w:tc>
          <w:tcPr>
            <w:tcW w:w="1494" w:type="dxa"/>
            <w:shd w:val="clear" w:color="auto" w:fill="auto"/>
            <w:vAlign w:val="center"/>
            <w:hideMark/>
          </w:tcPr>
          <w:p w14:paraId="0029AEA1" w14:textId="77777777" w:rsidR="00ED705B" w:rsidRPr="006E0AFE" w:rsidRDefault="00ED705B" w:rsidP="00ED705B">
            <w:pPr>
              <w:jc w:val="right"/>
              <w:rPr>
                <w:sz w:val="20"/>
                <w:szCs w:val="20"/>
              </w:rPr>
            </w:pPr>
            <w:r w:rsidRPr="006E0AFE">
              <w:rPr>
                <w:sz w:val="20"/>
                <w:szCs w:val="20"/>
              </w:rPr>
              <w:t>11.416.800</w:t>
            </w:r>
          </w:p>
        </w:tc>
        <w:tc>
          <w:tcPr>
            <w:tcW w:w="1494" w:type="dxa"/>
            <w:shd w:val="clear" w:color="auto" w:fill="auto"/>
            <w:vAlign w:val="center"/>
            <w:hideMark/>
          </w:tcPr>
          <w:p w14:paraId="5A1D0B50" w14:textId="77777777" w:rsidR="00ED705B" w:rsidRPr="006E0AFE" w:rsidRDefault="00ED705B" w:rsidP="00ED705B">
            <w:pPr>
              <w:jc w:val="right"/>
              <w:rPr>
                <w:sz w:val="20"/>
                <w:szCs w:val="20"/>
              </w:rPr>
            </w:pPr>
            <w:r w:rsidRPr="006E0AFE">
              <w:rPr>
                <w:sz w:val="20"/>
                <w:szCs w:val="20"/>
              </w:rPr>
              <w:t>11.416.800</w:t>
            </w:r>
          </w:p>
        </w:tc>
      </w:tr>
      <w:tr w:rsidR="00ED705B" w:rsidRPr="006E0AFE" w14:paraId="00ADB6C9" w14:textId="77777777" w:rsidTr="00845179">
        <w:trPr>
          <w:trHeight w:val="525"/>
        </w:trPr>
        <w:tc>
          <w:tcPr>
            <w:tcW w:w="3196" w:type="dxa"/>
            <w:shd w:val="clear" w:color="auto" w:fill="auto"/>
            <w:vAlign w:val="center"/>
            <w:hideMark/>
          </w:tcPr>
          <w:p w14:paraId="0A393B3B" w14:textId="77777777" w:rsidR="00ED705B" w:rsidRPr="006E0AFE" w:rsidRDefault="00ED705B" w:rsidP="00ED705B">
            <w:pPr>
              <w:jc w:val="center"/>
              <w:rPr>
                <w:sz w:val="20"/>
                <w:szCs w:val="20"/>
              </w:rPr>
            </w:pPr>
            <w:r w:rsidRPr="006E0AFE">
              <w:rPr>
                <w:sz w:val="20"/>
                <w:szCs w:val="20"/>
              </w:rPr>
              <w:t>2.1.2. KAPITALNA ULAGANJA U OBJEKTE I OPREMU</w:t>
            </w:r>
          </w:p>
        </w:tc>
        <w:tc>
          <w:tcPr>
            <w:tcW w:w="1469" w:type="dxa"/>
            <w:shd w:val="clear" w:color="auto" w:fill="auto"/>
            <w:vAlign w:val="center"/>
            <w:hideMark/>
          </w:tcPr>
          <w:p w14:paraId="50A1F03E" w14:textId="77777777" w:rsidR="00ED705B" w:rsidRPr="006E0AFE" w:rsidRDefault="00ED705B" w:rsidP="00ED705B">
            <w:pPr>
              <w:jc w:val="right"/>
              <w:rPr>
                <w:sz w:val="20"/>
                <w:szCs w:val="20"/>
              </w:rPr>
            </w:pPr>
            <w:r w:rsidRPr="006E0AFE">
              <w:rPr>
                <w:sz w:val="20"/>
                <w:szCs w:val="20"/>
              </w:rPr>
              <w:t>226.252</w:t>
            </w:r>
          </w:p>
        </w:tc>
        <w:tc>
          <w:tcPr>
            <w:tcW w:w="1415" w:type="dxa"/>
            <w:shd w:val="clear" w:color="auto" w:fill="auto"/>
            <w:vAlign w:val="center"/>
            <w:hideMark/>
          </w:tcPr>
          <w:p w14:paraId="6F8A61FF" w14:textId="77777777" w:rsidR="00ED705B" w:rsidRPr="006E0AFE" w:rsidRDefault="00ED705B" w:rsidP="00ED705B">
            <w:pPr>
              <w:jc w:val="right"/>
              <w:rPr>
                <w:sz w:val="20"/>
                <w:szCs w:val="20"/>
              </w:rPr>
            </w:pPr>
            <w:r w:rsidRPr="006E0AFE">
              <w:rPr>
                <w:sz w:val="20"/>
                <w:szCs w:val="20"/>
              </w:rPr>
              <w:t>200.000</w:t>
            </w:r>
          </w:p>
        </w:tc>
        <w:tc>
          <w:tcPr>
            <w:tcW w:w="1072" w:type="dxa"/>
            <w:shd w:val="clear" w:color="auto" w:fill="auto"/>
            <w:vAlign w:val="center"/>
            <w:hideMark/>
          </w:tcPr>
          <w:p w14:paraId="2ADE6DEC" w14:textId="77777777" w:rsidR="00ED705B" w:rsidRPr="006E0AFE" w:rsidRDefault="00ED705B" w:rsidP="00ED705B">
            <w:pPr>
              <w:jc w:val="center"/>
              <w:rPr>
                <w:sz w:val="20"/>
                <w:szCs w:val="20"/>
              </w:rPr>
            </w:pPr>
            <w:r w:rsidRPr="006E0AFE">
              <w:rPr>
                <w:sz w:val="20"/>
                <w:szCs w:val="20"/>
              </w:rPr>
              <w:t>88,4</w:t>
            </w:r>
          </w:p>
        </w:tc>
        <w:tc>
          <w:tcPr>
            <w:tcW w:w="1494" w:type="dxa"/>
            <w:shd w:val="clear" w:color="auto" w:fill="auto"/>
            <w:vAlign w:val="center"/>
            <w:hideMark/>
          </w:tcPr>
          <w:p w14:paraId="322BBAFF" w14:textId="77777777" w:rsidR="00ED705B" w:rsidRPr="006E0AFE" w:rsidRDefault="00ED705B" w:rsidP="00ED705B">
            <w:pPr>
              <w:jc w:val="right"/>
              <w:rPr>
                <w:sz w:val="20"/>
                <w:szCs w:val="20"/>
              </w:rPr>
            </w:pPr>
            <w:r w:rsidRPr="006E0AFE">
              <w:rPr>
                <w:sz w:val="20"/>
                <w:szCs w:val="20"/>
              </w:rPr>
              <w:t>200.000</w:t>
            </w:r>
          </w:p>
        </w:tc>
        <w:tc>
          <w:tcPr>
            <w:tcW w:w="1494" w:type="dxa"/>
            <w:shd w:val="clear" w:color="auto" w:fill="auto"/>
            <w:vAlign w:val="center"/>
            <w:hideMark/>
          </w:tcPr>
          <w:p w14:paraId="52B18E52" w14:textId="77777777" w:rsidR="00ED705B" w:rsidRPr="006E0AFE" w:rsidRDefault="00ED705B" w:rsidP="00ED705B">
            <w:pPr>
              <w:jc w:val="right"/>
              <w:rPr>
                <w:sz w:val="20"/>
                <w:szCs w:val="20"/>
              </w:rPr>
            </w:pPr>
            <w:r w:rsidRPr="006E0AFE">
              <w:rPr>
                <w:sz w:val="20"/>
                <w:szCs w:val="20"/>
              </w:rPr>
              <w:t>200.000</w:t>
            </w:r>
          </w:p>
        </w:tc>
      </w:tr>
      <w:tr w:rsidR="00ED705B" w:rsidRPr="006E0AFE" w14:paraId="317066BA" w14:textId="77777777" w:rsidTr="00845179">
        <w:trPr>
          <w:trHeight w:val="270"/>
        </w:trPr>
        <w:tc>
          <w:tcPr>
            <w:tcW w:w="3196" w:type="dxa"/>
            <w:shd w:val="clear" w:color="auto" w:fill="auto"/>
            <w:vAlign w:val="center"/>
            <w:hideMark/>
          </w:tcPr>
          <w:p w14:paraId="2349EC14" w14:textId="77777777" w:rsidR="00ED705B" w:rsidRPr="006E0AFE" w:rsidRDefault="00ED705B" w:rsidP="00ED705B">
            <w:pPr>
              <w:jc w:val="center"/>
              <w:rPr>
                <w:sz w:val="20"/>
                <w:szCs w:val="20"/>
              </w:rPr>
            </w:pPr>
            <w:r w:rsidRPr="006E0AFE">
              <w:rPr>
                <w:sz w:val="20"/>
                <w:szCs w:val="20"/>
              </w:rPr>
              <w:t>2.2.3. PROJEKT SMJENSKI RAD (EU)</w:t>
            </w:r>
          </w:p>
        </w:tc>
        <w:tc>
          <w:tcPr>
            <w:tcW w:w="1469" w:type="dxa"/>
            <w:shd w:val="clear" w:color="auto" w:fill="auto"/>
            <w:vAlign w:val="center"/>
            <w:hideMark/>
          </w:tcPr>
          <w:p w14:paraId="65F27170" w14:textId="77777777" w:rsidR="00ED705B" w:rsidRPr="006E0AFE" w:rsidRDefault="00ED705B" w:rsidP="00ED705B">
            <w:pPr>
              <w:jc w:val="right"/>
              <w:rPr>
                <w:sz w:val="20"/>
                <w:szCs w:val="20"/>
              </w:rPr>
            </w:pPr>
            <w:r w:rsidRPr="006E0AFE">
              <w:rPr>
                <w:sz w:val="20"/>
                <w:szCs w:val="20"/>
              </w:rPr>
              <w:t>1.130.895</w:t>
            </w:r>
          </w:p>
        </w:tc>
        <w:tc>
          <w:tcPr>
            <w:tcW w:w="1415" w:type="dxa"/>
            <w:shd w:val="clear" w:color="auto" w:fill="auto"/>
            <w:vAlign w:val="center"/>
            <w:hideMark/>
          </w:tcPr>
          <w:p w14:paraId="20F6C78B" w14:textId="77777777" w:rsidR="00ED705B" w:rsidRPr="006E0AFE" w:rsidRDefault="00ED705B" w:rsidP="00ED705B">
            <w:pPr>
              <w:jc w:val="right"/>
              <w:rPr>
                <w:sz w:val="20"/>
                <w:szCs w:val="20"/>
              </w:rPr>
            </w:pPr>
            <w:r w:rsidRPr="006E0AFE">
              <w:rPr>
                <w:sz w:val="20"/>
                <w:szCs w:val="20"/>
              </w:rPr>
              <w:t>251.400</w:t>
            </w:r>
          </w:p>
        </w:tc>
        <w:tc>
          <w:tcPr>
            <w:tcW w:w="1072" w:type="dxa"/>
            <w:shd w:val="clear" w:color="auto" w:fill="auto"/>
            <w:vAlign w:val="center"/>
            <w:hideMark/>
          </w:tcPr>
          <w:p w14:paraId="3651E63B" w14:textId="77777777" w:rsidR="00ED705B" w:rsidRPr="006E0AFE" w:rsidRDefault="00ED705B" w:rsidP="00ED705B">
            <w:pPr>
              <w:jc w:val="center"/>
              <w:rPr>
                <w:sz w:val="20"/>
                <w:szCs w:val="20"/>
              </w:rPr>
            </w:pPr>
            <w:r w:rsidRPr="006E0AFE">
              <w:rPr>
                <w:sz w:val="20"/>
                <w:szCs w:val="20"/>
              </w:rPr>
              <w:t>22,2</w:t>
            </w:r>
          </w:p>
        </w:tc>
        <w:tc>
          <w:tcPr>
            <w:tcW w:w="1494" w:type="dxa"/>
            <w:shd w:val="clear" w:color="auto" w:fill="auto"/>
            <w:vAlign w:val="center"/>
            <w:hideMark/>
          </w:tcPr>
          <w:p w14:paraId="7EFA2AE3" w14:textId="77777777" w:rsidR="00ED705B" w:rsidRPr="006E0AFE" w:rsidRDefault="00ED705B" w:rsidP="00ED705B">
            <w:pPr>
              <w:jc w:val="right"/>
              <w:rPr>
                <w:sz w:val="20"/>
                <w:szCs w:val="20"/>
              </w:rPr>
            </w:pPr>
            <w:r w:rsidRPr="006E0AFE">
              <w:rPr>
                <w:sz w:val="20"/>
                <w:szCs w:val="20"/>
              </w:rPr>
              <w:t>0</w:t>
            </w:r>
          </w:p>
        </w:tc>
        <w:tc>
          <w:tcPr>
            <w:tcW w:w="1494" w:type="dxa"/>
            <w:shd w:val="clear" w:color="auto" w:fill="auto"/>
            <w:vAlign w:val="center"/>
            <w:hideMark/>
          </w:tcPr>
          <w:p w14:paraId="5E4C5547" w14:textId="77777777" w:rsidR="00ED705B" w:rsidRPr="006E0AFE" w:rsidRDefault="00ED705B" w:rsidP="00ED705B">
            <w:pPr>
              <w:jc w:val="right"/>
              <w:rPr>
                <w:sz w:val="20"/>
                <w:szCs w:val="20"/>
              </w:rPr>
            </w:pPr>
            <w:r w:rsidRPr="006E0AFE">
              <w:rPr>
                <w:sz w:val="20"/>
                <w:szCs w:val="20"/>
              </w:rPr>
              <w:t>0</w:t>
            </w:r>
          </w:p>
        </w:tc>
      </w:tr>
      <w:tr w:rsidR="00ED705B" w:rsidRPr="006E0AFE" w14:paraId="02F8E265" w14:textId="77777777" w:rsidTr="00845179">
        <w:trPr>
          <w:trHeight w:val="270"/>
        </w:trPr>
        <w:tc>
          <w:tcPr>
            <w:tcW w:w="3196" w:type="dxa"/>
            <w:shd w:val="clear" w:color="auto" w:fill="auto"/>
            <w:vAlign w:val="center"/>
            <w:hideMark/>
          </w:tcPr>
          <w:p w14:paraId="4021B08E" w14:textId="77777777" w:rsidR="00ED705B" w:rsidRPr="006E0AFE" w:rsidRDefault="00ED705B" w:rsidP="00ED705B">
            <w:pPr>
              <w:jc w:val="center"/>
              <w:rPr>
                <w:b/>
                <w:bCs/>
                <w:sz w:val="20"/>
                <w:szCs w:val="20"/>
              </w:rPr>
            </w:pPr>
            <w:r w:rsidRPr="006E0AFE">
              <w:rPr>
                <w:b/>
                <w:bCs/>
                <w:sz w:val="20"/>
                <w:szCs w:val="20"/>
              </w:rPr>
              <w:t>2.2. JEDINSTVENI UPRAVNI ODJEL</w:t>
            </w:r>
          </w:p>
        </w:tc>
        <w:tc>
          <w:tcPr>
            <w:tcW w:w="1469" w:type="dxa"/>
            <w:shd w:val="clear" w:color="auto" w:fill="auto"/>
            <w:vAlign w:val="center"/>
            <w:hideMark/>
          </w:tcPr>
          <w:p w14:paraId="677F2042" w14:textId="77777777" w:rsidR="00ED705B" w:rsidRPr="006E0AFE" w:rsidRDefault="00ED705B" w:rsidP="00ED705B">
            <w:pPr>
              <w:jc w:val="right"/>
              <w:rPr>
                <w:b/>
                <w:bCs/>
                <w:sz w:val="20"/>
                <w:szCs w:val="20"/>
              </w:rPr>
            </w:pPr>
            <w:r w:rsidRPr="006E0AFE">
              <w:rPr>
                <w:b/>
                <w:bCs/>
                <w:sz w:val="20"/>
                <w:szCs w:val="20"/>
              </w:rPr>
              <w:t>101.492.419</w:t>
            </w:r>
          </w:p>
        </w:tc>
        <w:tc>
          <w:tcPr>
            <w:tcW w:w="1415" w:type="dxa"/>
            <w:shd w:val="clear" w:color="auto" w:fill="auto"/>
            <w:vAlign w:val="center"/>
            <w:hideMark/>
          </w:tcPr>
          <w:p w14:paraId="13057AAB" w14:textId="77777777" w:rsidR="00ED705B" w:rsidRPr="006E0AFE" w:rsidRDefault="00ED705B" w:rsidP="00ED705B">
            <w:pPr>
              <w:jc w:val="right"/>
              <w:rPr>
                <w:b/>
                <w:bCs/>
                <w:sz w:val="20"/>
                <w:szCs w:val="20"/>
              </w:rPr>
            </w:pPr>
            <w:r w:rsidRPr="006E0AFE">
              <w:rPr>
                <w:b/>
                <w:bCs/>
                <w:sz w:val="20"/>
                <w:szCs w:val="20"/>
              </w:rPr>
              <w:t>78.251.350</w:t>
            </w:r>
          </w:p>
        </w:tc>
        <w:tc>
          <w:tcPr>
            <w:tcW w:w="1072" w:type="dxa"/>
            <w:shd w:val="clear" w:color="auto" w:fill="auto"/>
            <w:vAlign w:val="center"/>
            <w:hideMark/>
          </w:tcPr>
          <w:p w14:paraId="543F9ACE" w14:textId="77777777" w:rsidR="00ED705B" w:rsidRPr="006E0AFE" w:rsidRDefault="00ED705B" w:rsidP="00ED705B">
            <w:pPr>
              <w:jc w:val="center"/>
              <w:rPr>
                <w:b/>
                <w:bCs/>
                <w:sz w:val="20"/>
                <w:szCs w:val="20"/>
              </w:rPr>
            </w:pPr>
            <w:r w:rsidRPr="006E0AFE">
              <w:rPr>
                <w:b/>
                <w:bCs/>
                <w:sz w:val="20"/>
                <w:szCs w:val="20"/>
              </w:rPr>
              <w:t>77,1</w:t>
            </w:r>
          </w:p>
        </w:tc>
        <w:tc>
          <w:tcPr>
            <w:tcW w:w="1494" w:type="dxa"/>
            <w:shd w:val="clear" w:color="auto" w:fill="auto"/>
            <w:vAlign w:val="center"/>
            <w:hideMark/>
          </w:tcPr>
          <w:p w14:paraId="2722C2E1" w14:textId="77777777" w:rsidR="00ED705B" w:rsidRPr="006E0AFE" w:rsidRDefault="00ED705B" w:rsidP="00ED705B">
            <w:pPr>
              <w:jc w:val="right"/>
              <w:rPr>
                <w:b/>
                <w:bCs/>
                <w:sz w:val="20"/>
                <w:szCs w:val="20"/>
              </w:rPr>
            </w:pPr>
            <w:r w:rsidRPr="006E0AFE">
              <w:rPr>
                <w:b/>
                <w:bCs/>
                <w:sz w:val="20"/>
                <w:szCs w:val="20"/>
              </w:rPr>
              <w:t>65.262.150</w:t>
            </w:r>
          </w:p>
        </w:tc>
        <w:tc>
          <w:tcPr>
            <w:tcW w:w="1494" w:type="dxa"/>
            <w:shd w:val="clear" w:color="auto" w:fill="auto"/>
            <w:vAlign w:val="center"/>
            <w:hideMark/>
          </w:tcPr>
          <w:p w14:paraId="7B9AF6BE" w14:textId="77777777" w:rsidR="00ED705B" w:rsidRPr="006E0AFE" w:rsidRDefault="00ED705B" w:rsidP="00ED705B">
            <w:pPr>
              <w:jc w:val="right"/>
              <w:rPr>
                <w:b/>
                <w:bCs/>
                <w:sz w:val="20"/>
                <w:szCs w:val="20"/>
              </w:rPr>
            </w:pPr>
            <w:r w:rsidRPr="006E0AFE">
              <w:rPr>
                <w:b/>
                <w:bCs/>
                <w:sz w:val="20"/>
                <w:szCs w:val="20"/>
              </w:rPr>
              <w:t>65.726.075</w:t>
            </w:r>
          </w:p>
        </w:tc>
      </w:tr>
      <w:tr w:rsidR="00ED705B" w:rsidRPr="006E0AFE" w14:paraId="6CCC66BA" w14:textId="77777777" w:rsidTr="00845179">
        <w:trPr>
          <w:trHeight w:val="270"/>
        </w:trPr>
        <w:tc>
          <w:tcPr>
            <w:tcW w:w="3196" w:type="dxa"/>
            <w:shd w:val="clear" w:color="auto" w:fill="auto"/>
            <w:vAlign w:val="center"/>
            <w:hideMark/>
          </w:tcPr>
          <w:p w14:paraId="2111EA7A" w14:textId="77777777" w:rsidR="00ED705B" w:rsidRPr="006E0AFE" w:rsidRDefault="00ED705B" w:rsidP="00ED705B">
            <w:pPr>
              <w:jc w:val="center"/>
              <w:rPr>
                <w:sz w:val="20"/>
                <w:szCs w:val="20"/>
              </w:rPr>
            </w:pPr>
            <w:r w:rsidRPr="006E0AFE">
              <w:rPr>
                <w:sz w:val="20"/>
                <w:szCs w:val="20"/>
              </w:rPr>
              <w:t>2.2.1. PREDŠKOLSKI ODGOJ</w:t>
            </w:r>
          </w:p>
        </w:tc>
        <w:tc>
          <w:tcPr>
            <w:tcW w:w="1469" w:type="dxa"/>
            <w:shd w:val="clear" w:color="auto" w:fill="auto"/>
            <w:vAlign w:val="center"/>
            <w:hideMark/>
          </w:tcPr>
          <w:p w14:paraId="475CFD20" w14:textId="77777777" w:rsidR="00ED705B" w:rsidRPr="006E0AFE" w:rsidRDefault="00ED705B" w:rsidP="00ED705B">
            <w:pPr>
              <w:jc w:val="right"/>
              <w:rPr>
                <w:sz w:val="20"/>
                <w:szCs w:val="20"/>
              </w:rPr>
            </w:pPr>
            <w:r w:rsidRPr="006E0AFE">
              <w:rPr>
                <w:sz w:val="20"/>
                <w:szCs w:val="20"/>
              </w:rPr>
              <w:t>534.460</w:t>
            </w:r>
          </w:p>
        </w:tc>
        <w:tc>
          <w:tcPr>
            <w:tcW w:w="1415" w:type="dxa"/>
            <w:shd w:val="clear" w:color="auto" w:fill="auto"/>
            <w:vAlign w:val="center"/>
            <w:hideMark/>
          </w:tcPr>
          <w:p w14:paraId="556784F2" w14:textId="77777777" w:rsidR="00ED705B" w:rsidRPr="006E0AFE" w:rsidRDefault="00ED705B" w:rsidP="00ED705B">
            <w:pPr>
              <w:jc w:val="right"/>
              <w:rPr>
                <w:sz w:val="20"/>
                <w:szCs w:val="20"/>
              </w:rPr>
            </w:pPr>
            <w:r w:rsidRPr="006E0AFE">
              <w:rPr>
                <w:sz w:val="20"/>
                <w:szCs w:val="20"/>
              </w:rPr>
              <w:t>334.400</w:t>
            </w:r>
          </w:p>
        </w:tc>
        <w:tc>
          <w:tcPr>
            <w:tcW w:w="1072" w:type="dxa"/>
            <w:shd w:val="clear" w:color="auto" w:fill="auto"/>
            <w:vAlign w:val="center"/>
            <w:hideMark/>
          </w:tcPr>
          <w:p w14:paraId="7F642D53" w14:textId="77777777" w:rsidR="00ED705B" w:rsidRPr="006E0AFE" w:rsidRDefault="00ED705B" w:rsidP="00ED705B">
            <w:pPr>
              <w:jc w:val="center"/>
              <w:rPr>
                <w:sz w:val="20"/>
                <w:szCs w:val="20"/>
              </w:rPr>
            </w:pPr>
            <w:r w:rsidRPr="006E0AFE">
              <w:rPr>
                <w:sz w:val="20"/>
                <w:szCs w:val="20"/>
              </w:rPr>
              <w:t>62,6</w:t>
            </w:r>
          </w:p>
        </w:tc>
        <w:tc>
          <w:tcPr>
            <w:tcW w:w="1494" w:type="dxa"/>
            <w:shd w:val="clear" w:color="auto" w:fill="auto"/>
            <w:vAlign w:val="center"/>
            <w:hideMark/>
          </w:tcPr>
          <w:p w14:paraId="412BBB32" w14:textId="77777777" w:rsidR="00ED705B" w:rsidRPr="006E0AFE" w:rsidRDefault="00ED705B" w:rsidP="00ED705B">
            <w:pPr>
              <w:jc w:val="right"/>
              <w:rPr>
                <w:sz w:val="20"/>
                <w:szCs w:val="20"/>
              </w:rPr>
            </w:pPr>
            <w:r w:rsidRPr="006E0AFE">
              <w:rPr>
                <w:sz w:val="20"/>
                <w:szCs w:val="20"/>
              </w:rPr>
              <w:t>187.000</w:t>
            </w:r>
          </w:p>
        </w:tc>
        <w:tc>
          <w:tcPr>
            <w:tcW w:w="1494" w:type="dxa"/>
            <w:shd w:val="clear" w:color="auto" w:fill="auto"/>
            <w:vAlign w:val="center"/>
            <w:hideMark/>
          </w:tcPr>
          <w:p w14:paraId="45B93253" w14:textId="77777777" w:rsidR="00ED705B" w:rsidRPr="006E0AFE" w:rsidRDefault="00ED705B" w:rsidP="00ED705B">
            <w:pPr>
              <w:jc w:val="right"/>
              <w:rPr>
                <w:sz w:val="20"/>
                <w:szCs w:val="20"/>
              </w:rPr>
            </w:pPr>
            <w:r w:rsidRPr="006E0AFE">
              <w:rPr>
                <w:sz w:val="20"/>
                <w:szCs w:val="20"/>
              </w:rPr>
              <w:t>187.000</w:t>
            </w:r>
          </w:p>
        </w:tc>
      </w:tr>
      <w:tr w:rsidR="00ED705B" w:rsidRPr="006E0AFE" w14:paraId="66445838" w14:textId="77777777" w:rsidTr="00845179">
        <w:trPr>
          <w:trHeight w:val="270"/>
        </w:trPr>
        <w:tc>
          <w:tcPr>
            <w:tcW w:w="3196" w:type="dxa"/>
            <w:shd w:val="clear" w:color="auto" w:fill="auto"/>
            <w:vAlign w:val="center"/>
            <w:hideMark/>
          </w:tcPr>
          <w:p w14:paraId="788DDFD5" w14:textId="77777777" w:rsidR="00ED705B" w:rsidRPr="006E0AFE" w:rsidRDefault="00ED705B" w:rsidP="00ED705B">
            <w:pPr>
              <w:jc w:val="center"/>
              <w:rPr>
                <w:sz w:val="20"/>
                <w:szCs w:val="20"/>
              </w:rPr>
            </w:pPr>
            <w:r w:rsidRPr="006E0AFE">
              <w:rPr>
                <w:sz w:val="20"/>
                <w:szCs w:val="20"/>
              </w:rPr>
              <w:t>2.2.2. ŠKOLSTVO</w:t>
            </w:r>
          </w:p>
        </w:tc>
        <w:tc>
          <w:tcPr>
            <w:tcW w:w="1469" w:type="dxa"/>
            <w:shd w:val="clear" w:color="auto" w:fill="auto"/>
            <w:vAlign w:val="center"/>
            <w:hideMark/>
          </w:tcPr>
          <w:p w14:paraId="75D0EEBA" w14:textId="77777777" w:rsidR="00ED705B" w:rsidRPr="006E0AFE" w:rsidRDefault="00ED705B" w:rsidP="00ED705B">
            <w:pPr>
              <w:jc w:val="right"/>
              <w:rPr>
                <w:sz w:val="20"/>
                <w:szCs w:val="20"/>
              </w:rPr>
            </w:pPr>
            <w:r w:rsidRPr="006E0AFE">
              <w:rPr>
                <w:sz w:val="20"/>
                <w:szCs w:val="20"/>
              </w:rPr>
              <w:t>1.502.800</w:t>
            </w:r>
          </w:p>
        </w:tc>
        <w:tc>
          <w:tcPr>
            <w:tcW w:w="1415" w:type="dxa"/>
            <w:shd w:val="clear" w:color="auto" w:fill="auto"/>
            <w:vAlign w:val="center"/>
            <w:hideMark/>
          </w:tcPr>
          <w:p w14:paraId="6B635B9D" w14:textId="77777777" w:rsidR="00ED705B" w:rsidRPr="006E0AFE" w:rsidRDefault="00ED705B" w:rsidP="00ED705B">
            <w:pPr>
              <w:jc w:val="right"/>
              <w:rPr>
                <w:sz w:val="20"/>
                <w:szCs w:val="20"/>
              </w:rPr>
            </w:pPr>
            <w:r w:rsidRPr="006E0AFE">
              <w:rPr>
                <w:sz w:val="20"/>
                <w:szCs w:val="20"/>
              </w:rPr>
              <w:t>1.597.700</w:t>
            </w:r>
          </w:p>
        </w:tc>
        <w:tc>
          <w:tcPr>
            <w:tcW w:w="1072" w:type="dxa"/>
            <w:shd w:val="clear" w:color="auto" w:fill="auto"/>
            <w:vAlign w:val="center"/>
            <w:hideMark/>
          </w:tcPr>
          <w:p w14:paraId="5DBE9496" w14:textId="77777777" w:rsidR="00ED705B" w:rsidRPr="006E0AFE" w:rsidRDefault="00ED705B" w:rsidP="00ED705B">
            <w:pPr>
              <w:jc w:val="center"/>
              <w:rPr>
                <w:sz w:val="20"/>
                <w:szCs w:val="20"/>
              </w:rPr>
            </w:pPr>
            <w:r w:rsidRPr="006E0AFE">
              <w:rPr>
                <w:sz w:val="20"/>
                <w:szCs w:val="20"/>
              </w:rPr>
              <w:t>106,3</w:t>
            </w:r>
          </w:p>
        </w:tc>
        <w:tc>
          <w:tcPr>
            <w:tcW w:w="1494" w:type="dxa"/>
            <w:shd w:val="clear" w:color="auto" w:fill="auto"/>
            <w:vAlign w:val="center"/>
            <w:hideMark/>
          </w:tcPr>
          <w:p w14:paraId="735736C0" w14:textId="77777777" w:rsidR="00ED705B" w:rsidRPr="006E0AFE" w:rsidRDefault="00ED705B" w:rsidP="00ED705B">
            <w:pPr>
              <w:jc w:val="right"/>
              <w:rPr>
                <w:sz w:val="20"/>
                <w:szCs w:val="20"/>
              </w:rPr>
            </w:pPr>
            <w:r w:rsidRPr="006E0AFE">
              <w:rPr>
                <w:sz w:val="20"/>
                <w:szCs w:val="20"/>
              </w:rPr>
              <w:t>1.608.200</w:t>
            </w:r>
          </w:p>
        </w:tc>
        <w:tc>
          <w:tcPr>
            <w:tcW w:w="1494" w:type="dxa"/>
            <w:shd w:val="clear" w:color="auto" w:fill="auto"/>
            <w:vAlign w:val="center"/>
            <w:hideMark/>
          </w:tcPr>
          <w:p w14:paraId="73DC520B" w14:textId="77777777" w:rsidR="00ED705B" w:rsidRPr="006E0AFE" w:rsidRDefault="00ED705B" w:rsidP="00ED705B">
            <w:pPr>
              <w:jc w:val="right"/>
              <w:rPr>
                <w:sz w:val="20"/>
                <w:szCs w:val="20"/>
              </w:rPr>
            </w:pPr>
            <w:r w:rsidRPr="006E0AFE">
              <w:rPr>
                <w:sz w:val="20"/>
                <w:szCs w:val="20"/>
              </w:rPr>
              <w:t>1.608.200</w:t>
            </w:r>
          </w:p>
        </w:tc>
      </w:tr>
      <w:tr w:rsidR="00ED705B" w:rsidRPr="006E0AFE" w14:paraId="4829B75A" w14:textId="77777777" w:rsidTr="00845179">
        <w:trPr>
          <w:trHeight w:val="270"/>
        </w:trPr>
        <w:tc>
          <w:tcPr>
            <w:tcW w:w="3196" w:type="dxa"/>
            <w:shd w:val="clear" w:color="auto" w:fill="auto"/>
            <w:vAlign w:val="center"/>
            <w:hideMark/>
          </w:tcPr>
          <w:p w14:paraId="66F94FA8" w14:textId="77777777" w:rsidR="00ED705B" w:rsidRPr="006E0AFE" w:rsidRDefault="00ED705B" w:rsidP="00ED705B">
            <w:pPr>
              <w:jc w:val="center"/>
              <w:rPr>
                <w:sz w:val="20"/>
                <w:szCs w:val="20"/>
              </w:rPr>
            </w:pPr>
            <w:r w:rsidRPr="006E0AFE">
              <w:rPr>
                <w:sz w:val="20"/>
                <w:szCs w:val="20"/>
              </w:rPr>
              <w:t>2.2.3. KULTURA</w:t>
            </w:r>
          </w:p>
        </w:tc>
        <w:tc>
          <w:tcPr>
            <w:tcW w:w="1469" w:type="dxa"/>
            <w:shd w:val="clear" w:color="auto" w:fill="auto"/>
            <w:vAlign w:val="center"/>
            <w:hideMark/>
          </w:tcPr>
          <w:p w14:paraId="0571CEC7" w14:textId="77777777" w:rsidR="00ED705B" w:rsidRPr="006E0AFE" w:rsidRDefault="00ED705B" w:rsidP="00ED705B">
            <w:pPr>
              <w:jc w:val="right"/>
              <w:rPr>
                <w:sz w:val="20"/>
                <w:szCs w:val="20"/>
              </w:rPr>
            </w:pPr>
            <w:r w:rsidRPr="006E0AFE">
              <w:rPr>
                <w:sz w:val="20"/>
                <w:szCs w:val="20"/>
              </w:rPr>
              <w:t>2.052.065</w:t>
            </w:r>
          </w:p>
        </w:tc>
        <w:tc>
          <w:tcPr>
            <w:tcW w:w="1415" w:type="dxa"/>
            <w:shd w:val="clear" w:color="auto" w:fill="auto"/>
            <w:vAlign w:val="center"/>
            <w:hideMark/>
          </w:tcPr>
          <w:p w14:paraId="7A166D99" w14:textId="77777777" w:rsidR="00ED705B" w:rsidRPr="006E0AFE" w:rsidRDefault="00ED705B" w:rsidP="00ED705B">
            <w:pPr>
              <w:jc w:val="right"/>
              <w:rPr>
                <w:sz w:val="20"/>
                <w:szCs w:val="20"/>
              </w:rPr>
            </w:pPr>
            <w:r w:rsidRPr="006E0AFE">
              <w:rPr>
                <w:sz w:val="20"/>
                <w:szCs w:val="20"/>
              </w:rPr>
              <w:t>2.127.740</w:t>
            </w:r>
          </w:p>
        </w:tc>
        <w:tc>
          <w:tcPr>
            <w:tcW w:w="1072" w:type="dxa"/>
            <w:shd w:val="clear" w:color="auto" w:fill="auto"/>
            <w:vAlign w:val="center"/>
            <w:hideMark/>
          </w:tcPr>
          <w:p w14:paraId="49778775" w14:textId="77777777" w:rsidR="00ED705B" w:rsidRPr="006E0AFE" w:rsidRDefault="00ED705B" w:rsidP="00ED705B">
            <w:pPr>
              <w:jc w:val="center"/>
              <w:rPr>
                <w:sz w:val="20"/>
                <w:szCs w:val="20"/>
              </w:rPr>
            </w:pPr>
            <w:r w:rsidRPr="006E0AFE">
              <w:rPr>
                <w:sz w:val="20"/>
                <w:szCs w:val="20"/>
              </w:rPr>
              <w:t>103,7</w:t>
            </w:r>
          </w:p>
        </w:tc>
        <w:tc>
          <w:tcPr>
            <w:tcW w:w="1494" w:type="dxa"/>
            <w:shd w:val="clear" w:color="auto" w:fill="auto"/>
            <w:vAlign w:val="center"/>
            <w:hideMark/>
          </w:tcPr>
          <w:p w14:paraId="09947D88" w14:textId="77777777" w:rsidR="00ED705B" w:rsidRPr="006E0AFE" w:rsidRDefault="00ED705B" w:rsidP="00ED705B">
            <w:pPr>
              <w:jc w:val="right"/>
              <w:rPr>
                <w:sz w:val="20"/>
                <w:szCs w:val="20"/>
              </w:rPr>
            </w:pPr>
            <w:r w:rsidRPr="006E0AFE">
              <w:rPr>
                <w:sz w:val="20"/>
                <w:szCs w:val="20"/>
              </w:rPr>
              <w:t>1.647.500</w:t>
            </w:r>
          </w:p>
        </w:tc>
        <w:tc>
          <w:tcPr>
            <w:tcW w:w="1494" w:type="dxa"/>
            <w:shd w:val="clear" w:color="auto" w:fill="auto"/>
            <w:vAlign w:val="center"/>
            <w:hideMark/>
          </w:tcPr>
          <w:p w14:paraId="20A07EB5" w14:textId="77777777" w:rsidR="00ED705B" w:rsidRPr="006E0AFE" w:rsidRDefault="00ED705B" w:rsidP="00ED705B">
            <w:pPr>
              <w:jc w:val="right"/>
              <w:rPr>
                <w:sz w:val="20"/>
                <w:szCs w:val="20"/>
              </w:rPr>
            </w:pPr>
            <w:r w:rsidRPr="006E0AFE">
              <w:rPr>
                <w:sz w:val="20"/>
                <w:szCs w:val="20"/>
              </w:rPr>
              <w:t>1.677.500</w:t>
            </w:r>
          </w:p>
        </w:tc>
      </w:tr>
      <w:tr w:rsidR="00ED705B" w:rsidRPr="006E0AFE" w14:paraId="7909C917" w14:textId="77777777" w:rsidTr="00845179">
        <w:trPr>
          <w:trHeight w:val="270"/>
        </w:trPr>
        <w:tc>
          <w:tcPr>
            <w:tcW w:w="3196" w:type="dxa"/>
            <w:shd w:val="clear" w:color="auto" w:fill="auto"/>
            <w:vAlign w:val="center"/>
            <w:hideMark/>
          </w:tcPr>
          <w:p w14:paraId="036BCA1F" w14:textId="77777777" w:rsidR="00ED705B" w:rsidRPr="006E0AFE" w:rsidRDefault="00ED705B" w:rsidP="00ED705B">
            <w:pPr>
              <w:jc w:val="center"/>
              <w:rPr>
                <w:sz w:val="20"/>
                <w:szCs w:val="20"/>
              </w:rPr>
            </w:pPr>
            <w:r w:rsidRPr="006E0AFE">
              <w:rPr>
                <w:sz w:val="20"/>
                <w:szCs w:val="20"/>
              </w:rPr>
              <w:t xml:space="preserve">2.2.4. SPORT </w:t>
            </w:r>
          </w:p>
        </w:tc>
        <w:tc>
          <w:tcPr>
            <w:tcW w:w="1469" w:type="dxa"/>
            <w:shd w:val="clear" w:color="auto" w:fill="auto"/>
            <w:vAlign w:val="center"/>
            <w:hideMark/>
          </w:tcPr>
          <w:p w14:paraId="5935B33E" w14:textId="77777777" w:rsidR="00ED705B" w:rsidRPr="006E0AFE" w:rsidRDefault="00ED705B" w:rsidP="00ED705B">
            <w:pPr>
              <w:jc w:val="right"/>
              <w:rPr>
                <w:sz w:val="20"/>
                <w:szCs w:val="20"/>
              </w:rPr>
            </w:pPr>
            <w:r w:rsidRPr="006E0AFE">
              <w:rPr>
                <w:sz w:val="20"/>
                <w:szCs w:val="20"/>
              </w:rPr>
              <w:t>1.765.340</w:t>
            </w:r>
          </w:p>
        </w:tc>
        <w:tc>
          <w:tcPr>
            <w:tcW w:w="1415" w:type="dxa"/>
            <w:shd w:val="clear" w:color="auto" w:fill="auto"/>
            <w:vAlign w:val="center"/>
            <w:hideMark/>
          </w:tcPr>
          <w:p w14:paraId="7C2A4343" w14:textId="77777777" w:rsidR="00ED705B" w:rsidRPr="006E0AFE" w:rsidRDefault="00ED705B" w:rsidP="00ED705B">
            <w:pPr>
              <w:jc w:val="right"/>
              <w:rPr>
                <w:sz w:val="20"/>
                <w:szCs w:val="20"/>
              </w:rPr>
            </w:pPr>
            <w:r w:rsidRPr="006E0AFE">
              <w:rPr>
                <w:sz w:val="20"/>
                <w:szCs w:val="20"/>
              </w:rPr>
              <w:t>1.687.000</w:t>
            </w:r>
          </w:p>
        </w:tc>
        <w:tc>
          <w:tcPr>
            <w:tcW w:w="1072" w:type="dxa"/>
            <w:shd w:val="clear" w:color="auto" w:fill="auto"/>
            <w:vAlign w:val="center"/>
            <w:hideMark/>
          </w:tcPr>
          <w:p w14:paraId="7C635733" w14:textId="77777777" w:rsidR="00ED705B" w:rsidRPr="006E0AFE" w:rsidRDefault="00ED705B" w:rsidP="00ED705B">
            <w:pPr>
              <w:jc w:val="center"/>
              <w:rPr>
                <w:sz w:val="20"/>
                <w:szCs w:val="20"/>
              </w:rPr>
            </w:pPr>
            <w:r w:rsidRPr="006E0AFE">
              <w:rPr>
                <w:sz w:val="20"/>
                <w:szCs w:val="20"/>
              </w:rPr>
              <w:t>95,6</w:t>
            </w:r>
          </w:p>
        </w:tc>
        <w:tc>
          <w:tcPr>
            <w:tcW w:w="1494" w:type="dxa"/>
            <w:shd w:val="clear" w:color="auto" w:fill="auto"/>
            <w:vAlign w:val="center"/>
            <w:hideMark/>
          </w:tcPr>
          <w:p w14:paraId="0A153518" w14:textId="77777777" w:rsidR="00ED705B" w:rsidRPr="006E0AFE" w:rsidRDefault="00ED705B" w:rsidP="00ED705B">
            <w:pPr>
              <w:jc w:val="right"/>
              <w:rPr>
                <w:sz w:val="20"/>
                <w:szCs w:val="20"/>
              </w:rPr>
            </w:pPr>
            <w:r w:rsidRPr="006E0AFE">
              <w:rPr>
                <w:sz w:val="20"/>
                <w:szCs w:val="20"/>
              </w:rPr>
              <w:t>1.965.500</w:t>
            </w:r>
          </w:p>
        </w:tc>
        <w:tc>
          <w:tcPr>
            <w:tcW w:w="1494" w:type="dxa"/>
            <w:shd w:val="clear" w:color="auto" w:fill="auto"/>
            <w:vAlign w:val="center"/>
            <w:hideMark/>
          </w:tcPr>
          <w:p w14:paraId="6AA28D0B" w14:textId="77777777" w:rsidR="00ED705B" w:rsidRPr="006E0AFE" w:rsidRDefault="00ED705B" w:rsidP="00ED705B">
            <w:pPr>
              <w:jc w:val="right"/>
              <w:rPr>
                <w:sz w:val="20"/>
                <w:szCs w:val="20"/>
              </w:rPr>
            </w:pPr>
            <w:r w:rsidRPr="006E0AFE">
              <w:rPr>
                <w:sz w:val="20"/>
                <w:szCs w:val="20"/>
              </w:rPr>
              <w:t>2.065.500</w:t>
            </w:r>
          </w:p>
        </w:tc>
      </w:tr>
      <w:tr w:rsidR="00ED705B" w:rsidRPr="006E0AFE" w14:paraId="4FBF81F1" w14:textId="77777777" w:rsidTr="00845179">
        <w:trPr>
          <w:trHeight w:val="270"/>
        </w:trPr>
        <w:tc>
          <w:tcPr>
            <w:tcW w:w="3196" w:type="dxa"/>
            <w:shd w:val="clear" w:color="auto" w:fill="auto"/>
            <w:vAlign w:val="center"/>
            <w:hideMark/>
          </w:tcPr>
          <w:p w14:paraId="07747F5B" w14:textId="77777777" w:rsidR="00ED705B" w:rsidRPr="006E0AFE" w:rsidRDefault="00ED705B" w:rsidP="00ED705B">
            <w:pPr>
              <w:jc w:val="center"/>
              <w:rPr>
                <w:sz w:val="20"/>
                <w:szCs w:val="20"/>
              </w:rPr>
            </w:pPr>
            <w:r w:rsidRPr="006E0AFE">
              <w:rPr>
                <w:sz w:val="20"/>
                <w:szCs w:val="20"/>
              </w:rPr>
              <w:t>2.2.5. SOCIJALNA SKRB</w:t>
            </w:r>
          </w:p>
        </w:tc>
        <w:tc>
          <w:tcPr>
            <w:tcW w:w="1469" w:type="dxa"/>
            <w:shd w:val="clear" w:color="auto" w:fill="auto"/>
            <w:vAlign w:val="center"/>
            <w:hideMark/>
          </w:tcPr>
          <w:p w14:paraId="1B466D40" w14:textId="77777777" w:rsidR="00ED705B" w:rsidRPr="006E0AFE" w:rsidRDefault="00ED705B" w:rsidP="00ED705B">
            <w:pPr>
              <w:jc w:val="right"/>
              <w:rPr>
                <w:sz w:val="20"/>
                <w:szCs w:val="20"/>
              </w:rPr>
            </w:pPr>
            <w:r w:rsidRPr="006E0AFE">
              <w:rPr>
                <w:sz w:val="20"/>
                <w:szCs w:val="20"/>
              </w:rPr>
              <w:t>1.255.945</w:t>
            </w:r>
          </w:p>
        </w:tc>
        <w:tc>
          <w:tcPr>
            <w:tcW w:w="1415" w:type="dxa"/>
            <w:shd w:val="clear" w:color="auto" w:fill="auto"/>
            <w:vAlign w:val="center"/>
            <w:hideMark/>
          </w:tcPr>
          <w:p w14:paraId="77D9E3A6" w14:textId="77777777" w:rsidR="00ED705B" w:rsidRPr="006E0AFE" w:rsidRDefault="00ED705B" w:rsidP="00ED705B">
            <w:pPr>
              <w:jc w:val="right"/>
              <w:rPr>
                <w:sz w:val="20"/>
                <w:szCs w:val="20"/>
              </w:rPr>
            </w:pPr>
            <w:r w:rsidRPr="006E0AFE">
              <w:rPr>
                <w:sz w:val="20"/>
                <w:szCs w:val="20"/>
              </w:rPr>
              <w:t>2.511.700</w:t>
            </w:r>
          </w:p>
        </w:tc>
        <w:tc>
          <w:tcPr>
            <w:tcW w:w="1072" w:type="dxa"/>
            <w:shd w:val="clear" w:color="auto" w:fill="auto"/>
            <w:vAlign w:val="center"/>
            <w:hideMark/>
          </w:tcPr>
          <w:p w14:paraId="7CFF485E" w14:textId="77777777" w:rsidR="00ED705B" w:rsidRPr="006E0AFE" w:rsidRDefault="00ED705B" w:rsidP="00ED705B">
            <w:pPr>
              <w:jc w:val="center"/>
              <w:rPr>
                <w:sz w:val="20"/>
                <w:szCs w:val="20"/>
              </w:rPr>
            </w:pPr>
            <w:r w:rsidRPr="006E0AFE">
              <w:rPr>
                <w:sz w:val="20"/>
                <w:szCs w:val="20"/>
              </w:rPr>
              <w:t>200,0</w:t>
            </w:r>
          </w:p>
        </w:tc>
        <w:tc>
          <w:tcPr>
            <w:tcW w:w="1494" w:type="dxa"/>
            <w:shd w:val="clear" w:color="auto" w:fill="auto"/>
            <w:vAlign w:val="center"/>
            <w:hideMark/>
          </w:tcPr>
          <w:p w14:paraId="68884218" w14:textId="77777777" w:rsidR="00ED705B" w:rsidRPr="006E0AFE" w:rsidRDefault="00ED705B" w:rsidP="00ED705B">
            <w:pPr>
              <w:jc w:val="right"/>
              <w:rPr>
                <w:sz w:val="20"/>
                <w:szCs w:val="20"/>
              </w:rPr>
            </w:pPr>
            <w:r w:rsidRPr="006E0AFE">
              <w:rPr>
                <w:sz w:val="20"/>
                <w:szCs w:val="20"/>
              </w:rPr>
              <w:t>1.948.875</w:t>
            </w:r>
          </w:p>
        </w:tc>
        <w:tc>
          <w:tcPr>
            <w:tcW w:w="1494" w:type="dxa"/>
            <w:shd w:val="clear" w:color="auto" w:fill="auto"/>
            <w:vAlign w:val="center"/>
            <w:hideMark/>
          </w:tcPr>
          <w:p w14:paraId="4E5C8DFA" w14:textId="77777777" w:rsidR="00ED705B" w:rsidRPr="006E0AFE" w:rsidRDefault="00ED705B" w:rsidP="00ED705B">
            <w:pPr>
              <w:jc w:val="right"/>
              <w:rPr>
                <w:sz w:val="20"/>
                <w:szCs w:val="20"/>
              </w:rPr>
            </w:pPr>
            <w:r w:rsidRPr="006E0AFE">
              <w:rPr>
                <w:sz w:val="20"/>
                <w:szCs w:val="20"/>
              </w:rPr>
              <w:t>1.494.800</w:t>
            </w:r>
          </w:p>
        </w:tc>
      </w:tr>
      <w:tr w:rsidR="00ED705B" w:rsidRPr="006E0AFE" w14:paraId="3187B29F" w14:textId="77777777" w:rsidTr="00845179">
        <w:trPr>
          <w:trHeight w:val="270"/>
        </w:trPr>
        <w:tc>
          <w:tcPr>
            <w:tcW w:w="3196" w:type="dxa"/>
            <w:shd w:val="clear" w:color="auto" w:fill="auto"/>
            <w:vAlign w:val="center"/>
            <w:hideMark/>
          </w:tcPr>
          <w:p w14:paraId="00E8D764" w14:textId="77777777" w:rsidR="00ED705B" w:rsidRPr="006E0AFE" w:rsidRDefault="00ED705B" w:rsidP="00ED705B">
            <w:pPr>
              <w:jc w:val="center"/>
              <w:rPr>
                <w:sz w:val="20"/>
                <w:szCs w:val="20"/>
              </w:rPr>
            </w:pPr>
            <w:r w:rsidRPr="006E0AFE">
              <w:rPr>
                <w:sz w:val="20"/>
                <w:szCs w:val="20"/>
              </w:rPr>
              <w:t>2.2.6. ZDRAVSTVENA ZAŠTITA</w:t>
            </w:r>
          </w:p>
        </w:tc>
        <w:tc>
          <w:tcPr>
            <w:tcW w:w="1469" w:type="dxa"/>
            <w:shd w:val="clear" w:color="auto" w:fill="auto"/>
            <w:vAlign w:val="center"/>
            <w:hideMark/>
          </w:tcPr>
          <w:p w14:paraId="7F9BCCD3" w14:textId="77777777" w:rsidR="00ED705B" w:rsidRPr="006E0AFE" w:rsidRDefault="00ED705B" w:rsidP="00ED705B">
            <w:pPr>
              <w:jc w:val="right"/>
              <w:rPr>
                <w:sz w:val="20"/>
                <w:szCs w:val="20"/>
              </w:rPr>
            </w:pPr>
            <w:r w:rsidRPr="006E0AFE">
              <w:rPr>
                <w:sz w:val="20"/>
                <w:szCs w:val="20"/>
              </w:rPr>
              <w:t>764.250</w:t>
            </w:r>
          </w:p>
        </w:tc>
        <w:tc>
          <w:tcPr>
            <w:tcW w:w="1415" w:type="dxa"/>
            <w:shd w:val="clear" w:color="auto" w:fill="auto"/>
            <w:vAlign w:val="center"/>
            <w:hideMark/>
          </w:tcPr>
          <w:p w14:paraId="170DAF05" w14:textId="77777777" w:rsidR="00ED705B" w:rsidRPr="006E0AFE" w:rsidRDefault="00ED705B" w:rsidP="00ED705B">
            <w:pPr>
              <w:jc w:val="right"/>
              <w:rPr>
                <w:sz w:val="20"/>
                <w:szCs w:val="20"/>
              </w:rPr>
            </w:pPr>
            <w:r w:rsidRPr="006E0AFE">
              <w:rPr>
                <w:sz w:val="20"/>
                <w:szCs w:val="20"/>
              </w:rPr>
              <w:t>738.000</w:t>
            </w:r>
          </w:p>
        </w:tc>
        <w:tc>
          <w:tcPr>
            <w:tcW w:w="1072" w:type="dxa"/>
            <w:shd w:val="clear" w:color="auto" w:fill="auto"/>
            <w:vAlign w:val="center"/>
            <w:hideMark/>
          </w:tcPr>
          <w:p w14:paraId="03001548" w14:textId="77777777" w:rsidR="00ED705B" w:rsidRPr="006E0AFE" w:rsidRDefault="00ED705B" w:rsidP="00ED705B">
            <w:pPr>
              <w:jc w:val="center"/>
              <w:rPr>
                <w:sz w:val="20"/>
                <w:szCs w:val="20"/>
              </w:rPr>
            </w:pPr>
            <w:r w:rsidRPr="006E0AFE">
              <w:rPr>
                <w:sz w:val="20"/>
                <w:szCs w:val="20"/>
              </w:rPr>
              <w:t>96,6</w:t>
            </w:r>
          </w:p>
        </w:tc>
        <w:tc>
          <w:tcPr>
            <w:tcW w:w="1494" w:type="dxa"/>
            <w:shd w:val="clear" w:color="auto" w:fill="auto"/>
            <w:vAlign w:val="center"/>
            <w:hideMark/>
          </w:tcPr>
          <w:p w14:paraId="353D230E" w14:textId="77777777" w:rsidR="00ED705B" w:rsidRPr="006E0AFE" w:rsidRDefault="00ED705B" w:rsidP="00ED705B">
            <w:pPr>
              <w:jc w:val="right"/>
              <w:rPr>
                <w:sz w:val="20"/>
                <w:szCs w:val="20"/>
              </w:rPr>
            </w:pPr>
            <w:r w:rsidRPr="006E0AFE">
              <w:rPr>
                <w:sz w:val="20"/>
                <w:szCs w:val="20"/>
              </w:rPr>
              <w:t>748.000</w:t>
            </w:r>
          </w:p>
        </w:tc>
        <w:tc>
          <w:tcPr>
            <w:tcW w:w="1494" w:type="dxa"/>
            <w:shd w:val="clear" w:color="auto" w:fill="auto"/>
            <w:vAlign w:val="center"/>
            <w:hideMark/>
          </w:tcPr>
          <w:p w14:paraId="057696E6" w14:textId="77777777" w:rsidR="00ED705B" w:rsidRPr="006E0AFE" w:rsidRDefault="00ED705B" w:rsidP="00ED705B">
            <w:pPr>
              <w:jc w:val="right"/>
              <w:rPr>
                <w:sz w:val="20"/>
                <w:szCs w:val="20"/>
              </w:rPr>
            </w:pPr>
            <w:r w:rsidRPr="006E0AFE">
              <w:rPr>
                <w:sz w:val="20"/>
                <w:szCs w:val="20"/>
              </w:rPr>
              <w:t>748.000</w:t>
            </w:r>
          </w:p>
        </w:tc>
      </w:tr>
      <w:tr w:rsidR="00ED705B" w:rsidRPr="006E0AFE" w14:paraId="1B10F94C" w14:textId="77777777" w:rsidTr="00845179">
        <w:trPr>
          <w:trHeight w:val="270"/>
        </w:trPr>
        <w:tc>
          <w:tcPr>
            <w:tcW w:w="3196" w:type="dxa"/>
            <w:shd w:val="clear" w:color="auto" w:fill="auto"/>
            <w:vAlign w:val="center"/>
            <w:hideMark/>
          </w:tcPr>
          <w:p w14:paraId="3DDC5906" w14:textId="77777777" w:rsidR="00ED705B" w:rsidRPr="006E0AFE" w:rsidRDefault="00ED705B" w:rsidP="00ED705B">
            <w:pPr>
              <w:jc w:val="center"/>
              <w:rPr>
                <w:sz w:val="20"/>
                <w:szCs w:val="20"/>
              </w:rPr>
            </w:pPr>
            <w:r w:rsidRPr="006E0AFE">
              <w:rPr>
                <w:sz w:val="20"/>
                <w:szCs w:val="20"/>
              </w:rPr>
              <w:t>2.2.7. PROSTORNO PLANIRANJE</w:t>
            </w:r>
          </w:p>
        </w:tc>
        <w:tc>
          <w:tcPr>
            <w:tcW w:w="1469" w:type="dxa"/>
            <w:shd w:val="clear" w:color="auto" w:fill="auto"/>
            <w:vAlign w:val="center"/>
            <w:hideMark/>
          </w:tcPr>
          <w:p w14:paraId="49501E29" w14:textId="77777777" w:rsidR="00ED705B" w:rsidRPr="006E0AFE" w:rsidRDefault="00ED705B" w:rsidP="00ED705B">
            <w:pPr>
              <w:jc w:val="right"/>
              <w:rPr>
                <w:sz w:val="20"/>
                <w:szCs w:val="20"/>
              </w:rPr>
            </w:pPr>
            <w:r w:rsidRPr="006E0AFE">
              <w:rPr>
                <w:sz w:val="20"/>
                <w:szCs w:val="20"/>
              </w:rPr>
              <w:t>937.000</w:t>
            </w:r>
          </w:p>
        </w:tc>
        <w:tc>
          <w:tcPr>
            <w:tcW w:w="1415" w:type="dxa"/>
            <w:shd w:val="clear" w:color="auto" w:fill="auto"/>
            <w:vAlign w:val="center"/>
            <w:hideMark/>
          </w:tcPr>
          <w:p w14:paraId="21A1E2B6" w14:textId="77777777" w:rsidR="00ED705B" w:rsidRPr="006E0AFE" w:rsidRDefault="00ED705B" w:rsidP="00ED705B">
            <w:pPr>
              <w:jc w:val="right"/>
              <w:rPr>
                <w:sz w:val="20"/>
                <w:szCs w:val="20"/>
              </w:rPr>
            </w:pPr>
            <w:r w:rsidRPr="006E0AFE">
              <w:rPr>
                <w:sz w:val="20"/>
                <w:szCs w:val="20"/>
              </w:rPr>
              <w:t>652.500</w:t>
            </w:r>
          </w:p>
        </w:tc>
        <w:tc>
          <w:tcPr>
            <w:tcW w:w="1072" w:type="dxa"/>
            <w:shd w:val="clear" w:color="auto" w:fill="auto"/>
            <w:vAlign w:val="center"/>
            <w:hideMark/>
          </w:tcPr>
          <w:p w14:paraId="5A833576" w14:textId="77777777" w:rsidR="00ED705B" w:rsidRPr="006E0AFE" w:rsidRDefault="00ED705B" w:rsidP="00ED705B">
            <w:pPr>
              <w:jc w:val="center"/>
              <w:rPr>
                <w:sz w:val="20"/>
                <w:szCs w:val="20"/>
              </w:rPr>
            </w:pPr>
            <w:r w:rsidRPr="006E0AFE">
              <w:rPr>
                <w:sz w:val="20"/>
                <w:szCs w:val="20"/>
              </w:rPr>
              <w:t>69,6</w:t>
            </w:r>
          </w:p>
        </w:tc>
        <w:tc>
          <w:tcPr>
            <w:tcW w:w="1494" w:type="dxa"/>
            <w:shd w:val="clear" w:color="auto" w:fill="auto"/>
            <w:vAlign w:val="center"/>
            <w:hideMark/>
          </w:tcPr>
          <w:p w14:paraId="76A6C56F" w14:textId="77777777" w:rsidR="00ED705B" w:rsidRPr="006E0AFE" w:rsidRDefault="00ED705B" w:rsidP="00ED705B">
            <w:pPr>
              <w:jc w:val="right"/>
              <w:rPr>
                <w:sz w:val="20"/>
                <w:szCs w:val="20"/>
              </w:rPr>
            </w:pPr>
            <w:r w:rsidRPr="006E0AFE">
              <w:rPr>
                <w:sz w:val="20"/>
                <w:szCs w:val="20"/>
              </w:rPr>
              <w:t>455.000</w:t>
            </w:r>
          </w:p>
        </w:tc>
        <w:tc>
          <w:tcPr>
            <w:tcW w:w="1494" w:type="dxa"/>
            <w:shd w:val="clear" w:color="auto" w:fill="auto"/>
            <w:vAlign w:val="center"/>
            <w:hideMark/>
          </w:tcPr>
          <w:p w14:paraId="76F11DCB" w14:textId="77777777" w:rsidR="00ED705B" w:rsidRPr="006E0AFE" w:rsidRDefault="00ED705B" w:rsidP="00ED705B">
            <w:pPr>
              <w:jc w:val="right"/>
              <w:rPr>
                <w:sz w:val="20"/>
                <w:szCs w:val="20"/>
              </w:rPr>
            </w:pPr>
            <w:r w:rsidRPr="006E0AFE">
              <w:rPr>
                <w:sz w:val="20"/>
                <w:szCs w:val="20"/>
              </w:rPr>
              <w:t>430.000</w:t>
            </w:r>
          </w:p>
        </w:tc>
      </w:tr>
      <w:tr w:rsidR="00ED705B" w:rsidRPr="006E0AFE" w14:paraId="2F100FFB" w14:textId="77777777" w:rsidTr="00845179">
        <w:trPr>
          <w:trHeight w:val="525"/>
        </w:trPr>
        <w:tc>
          <w:tcPr>
            <w:tcW w:w="3196" w:type="dxa"/>
            <w:shd w:val="clear" w:color="auto" w:fill="auto"/>
            <w:vAlign w:val="center"/>
            <w:hideMark/>
          </w:tcPr>
          <w:p w14:paraId="75389885" w14:textId="77777777" w:rsidR="00ED705B" w:rsidRPr="006E0AFE" w:rsidRDefault="00ED705B" w:rsidP="00ED705B">
            <w:pPr>
              <w:jc w:val="center"/>
              <w:rPr>
                <w:sz w:val="20"/>
                <w:szCs w:val="20"/>
              </w:rPr>
            </w:pPr>
            <w:r w:rsidRPr="006E0AFE">
              <w:rPr>
                <w:sz w:val="20"/>
                <w:szCs w:val="20"/>
              </w:rPr>
              <w:t>2.2.8. PROTUPOŽARNA ZAŠTITA I SPAŠAVANJE</w:t>
            </w:r>
          </w:p>
        </w:tc>
        <w:tc>
          <w:tcPr>
            <w:tcW w:w="1469" w:type="dxa"/>
            <w:shd w:val="clear" w:color="auto" w:fill="auto"/>
            <w:vAlign w:val="center"/>
            <w:hideMark/>
          </w:tcPr>
          <w:p w14:paraId="17402433" w14:textId="77777777" w:rsidR="00ED705B" w:rsidRPr="006E0AFE" w:rsidRDefault="00ED705B" w:rsidP="00ED705B">
            <w:pPr>
              <w:jc w:val="right"/>
              <w:rPr>
                <w:sz w:val="20"/>
                <w:szCs w:val="20"/>
              </w:rPr>
            </w:pPr>
            <w:r w:rsidRPr="006E0AFE">
              <w:rPr>
                <w:sz w:val="20"/>
                <w:szCs w:val="20"/>
              </w:rPr>
              <w:t>2.563.096</w:t>
            </w:r>
          </w:p>
        </w:tc>
        <w:tc>
          <w:tcPr>
            <w:tcW w:w="1415" w:type="dxa"/>
            <w:shd w:val="clear" w:color="auto" w:fill="auto"/>
            <w:vAlign w:val="center"/>
            <w:hideMark/>
          </w:tcPr>
          <w:p w14:paraId="12B97200" w14:textId="77777777" w:rsidR="00ED705B" w:rsidRPr="006E0AFE" w:rsidRDefault="00ED705B" w:rsidP="00ED705B">
            <w:pPr>
              <w:jc w:val="right"/>
              <w:rPr>
                <w:sz w:val="20"/>
                <w:szCs w:val="20"/>
              </w:rPr>
            </w:pPr>
            <w:r w:rsidRPr="006E0AFE">
              <w:rPr>
                <w:sz w:val="20"/>
                <w:szCs w:val="20"/>
              </w:rPr>
              <w:t>2.519.345</w:t>
            </w:r>
          </w:p>
        </w:tc>
        <w:tc>
          <w:tcPr>
            <w:tcW w:w="1072" w:type="dxa"/>
            <w:shd w:val="clear" w:color="auto" w:fill="auto"/>
            <w:vAlign w:val="center"/>
            <w:hideMark/>
          </w:tcPr>
          <w:p w14:paraId="6F5729B0" w14:textId="77777777" w:rsidR="00ED705B" w:rsidRPr="006E0AFE" w:rsidRDefault="00ED705B" w:rsidP="00ED705B">
            <w:pPr>
              <w:jc w:val="center"/>
              <w:rPr>
                <w:sz w:val="20"/>
                <w:szCs w:val="20"/>
              </w:rPr>
            </w:pPr>
            <w:r w:rsidRPr="006E0AFE">
              <w:rPr>
                <w:sz w:val="20"/>
                <w:szCs w:val="20"/>
              </w:rPr>
              <w:t>98,3</w:t>
            </w:r>
          </w:p>
        </w:tc>
        <w:tc>
          <w:tcPr>
            <w:tcW w:w="1494" w:type="dxa"/>
            <w:shd w:val="clear" w:color="auto" w:fill="auto"/>
            <w:vAlign w:val="center"/>
            <w:hideMark/>
          </w:tcPr>
          <w:p w14:paraId="7DE72DE9" w14:textId="77777777" w:rsidR="00ED705B" w:rsidRPr="006E0AFE" w:rsidRDefault="00ED705B" w:rsidP="00ED705B">
            <w:pPr>
              <w:jc w:val="right"/>
              <w:rPr>
                <w:sz w:val="20"/>
                <w:szCs w:val="20"/>
              </w:rPr>
            </w:pPr>
            <w:r w:rsidRPr="006E0AFE">
              <w:rPr>
                <w:sz w:val="20"/>
                <w:szCs w:val="20"/>
              </w:rPr>
              <w:t>2.873.500</w:t>
            </w:r>
          </w:p>
        </w:tc>
        <w:tc>
          <w:tcPr>
            <w:tcW w:w="1494" w:type="dxa"/>
            <w:shd w:val="clear" w:color="auto" w:fill="auto"/>
            <w:vAlign w:val="center"/>
            <w:hideMark/>
          </w:tcPr>
          <w:p w14:paraId="28D92FEB" w14:textId="77777777" w:rsidR="00ED705B" w:rsidRPr="006E0AFE" w:rsidRDefault="00ED705B" w:rsidP="00ED705B">
            <w:pPr>
              <w:jc w:val="right"/>
              <w:rPr>
                <w:sz w:val="20"/>
                <w:szCs w:val="20"/>
              </w:rPr>
            </w:pPr>
            <w:r w:rsidRPr="006E0AFE">
              <w:rPr>
                <w:sz w:val="20"/>
                <w:szCs w:val="20"/>
              </w:rPr>
              <w:t>2.883.500</w:t>
            </w:r>
          </w:p>
        </w:tc>
      </w:tr>
      <w:tr w:rsidR="00ED705B" w:rsidRPr="006E0AFE" w14:paraId="4E800F01" w14:textId="77777777" w:rsidTr="00845179">
        <w:trPr>
          <w:trHeight w:val="270"/>
        </w:trPr>
        <w:tc>
          <w:tcPr>
            <w:tcW w:w="3196" w:type="dxa"/>
            <w:shd w:val="clear" w:color="auto" w:fill="auto"/>
            <w:vAlign w:val="center"/>
            <w:hideMark/>
          </w:tcPr>
          <w:p w14:paraId="1641E036" w14:textId="77777777" w:rsidR="00ED705B" w:rsidRPr="006E0AFE" w:rsidRDefault="00ED705B" w:rsidP="00ED705B">
            <w:pPr>
              <w:jc w:val="center"/>
              <w:rPr>
                <w:sz w:val="20"/>
                <w:szCs w:val="20"/>
              </w:rPr>
            </w:pPr>
            <w:r w:rsidRPr="006E0AFE">
              <w:rPr>
                <w:sz w:val="20"/>
                <w:szCs w:val="20"/>
              </w:rPr>
              <w:t>2.2.9. JAVNI PRIJEVOZ</w:t>
            </w:r>
          </w:p>
        </w:tc>
        <w:tc>
          <w:tcPr>
            <w:tcW w:w="1469" w:type="dxa"/>
            <w:shd w:val="clear" w:color="auto" w:fill="auto"/>
            <w:vAlign w:val="center"/>
            <w:hideMark/>
          </w:tcPr>
          <w:p w14:paraId="78432ACA" w14:textId="77777777" w:rsidR="00ED705B" w:rsidRPr="006E0AFE" w:rsidRDefault="00ED705B" w:rsidP="00ED705B">
            <w:pPr>
              <w:jc w:val="right"/>
              <w:rPr>
                <w:sz w:val="20"/>
                <w:szCs w:val="20"/>
              </w:rPr>
            </w:pPr>
            <w:r w:rsidRPr="006E0AFE">
              <w:rPr>
                <w:sz w:val="20"/>
                <w:szCs w:val="20"/>
              </w:rPr>
              <w:t>4.330.000</w:t>
            </w:r>
          </w:p>
        </w:tc>
        <w:tc>
          <w:tcPr>
            <w:tcW w:w="1415" w:type="dxa"/>
            <w:shd w:val="clear" w:color="auto" w:fill="auto"/>
            <w:vAlign w:val="center"/>
            <w:hideMark/>
          </w:tcPr>
          <w:p w14:paraId="43CD89E8" w14:textId="77777777" w:rsidR="00ED705B" w:rsidRPr="006E0AFE" w:rsidRDefault="00ED705B" w:rsidP="00ED705B">
            <w:pPr>
              <w:jc w:val="right"/>
              <w:rPr>
                <w:sz w:val="20"/>
                <w:szCs w:val="20"/>
              </w:rPr>
            </w:pPr>
            <w:r w:rsidRPr="006E0AFE">
              <w:rPr>
                <w:sz w:val="20"/>
                <w:szCs w:val="20"/>
              </w:rPr>
              <w:t>3.950.000</w:t>
            </w:r>
          </w:p>
        </w:tc>
        <w:tc>
          <w:tcPr>
            <w:tcW w:w="1072" w:type="dxa"/>
            <w:shd w:val="clear" w:color="auto" w:fill="auto"/>
            <w:vAlign w:val="center"/>
            <w:hideMark/>
          </w:tcPr>
          <w:p w14:paraId="3F30734E" w14:textId="77777777" w:rsidR="00ED705B" w:rsidRPr="006E0AFE" w:rsidRDefault="00ED705B" w:rsidP="00ED705B">
            <w:pPr>
              <w:jc w:val="center"/>
              <w:rPr>
                <w:sz w:val="20"/>
                <w:szCs w:val="20"/>
              </w:rPr>
            </w:pPr>
            <w:r w:rsidRPr="006E0AFE">
              <w:rPr>
                <w:sz w:val="20"/>
                <w:szCs w:val="20"/>
              </w:rPr>
              <w:t>91,2</w:t>
            </w:r>
          </w:p>
        </w:tc>
        <w:tc>
          <w:tcPr>
            <w:tcW w:w="1494" w:type="dxa"/>
            <w:shd w:val="clear" w:color="auto" w:fill="auto"/>
            <w:vAlign w:val="center"/>
            <w:hideMark/>
          </w:tcPr>
          <w:p w14:paraId="40C45200" w14:textId="77777777" w:rsidR="00ED705B" w:rsidRPr="006E0AFE" w:rsidRDefault="00ED705B" w:rsidP="00ED705B">
            <w:pPr>
              <w:jc w:val="right"/>
              <w:rPr>
                <w:sz w:val="20"/>
                <w:szCs w:val="20"/>
              </w:rPr>
            </w:pPr>
            <w:r w:rsidRPr="006E0AFE">
              <w:rPr>
                <w:sz w:val="20"/>
                <w:szCs w:val="20"/>
              </w:rPr>
              <w:t>4.592.000</w:t>
            </w:r>
          </w:p>
        </w:tc>
        <w:tc>
          <w:tcPr>
            <w:tcW w:w="1494" w:type="dxa"/>
            <w:shd w:val="clear" w:color="auto" w:fill="auto"/>
            <w:vAlign w:val="center"/>
            <w:hideMark/>
          </w:tcPr>
          <w:p w14:paraId="468A9B99" w14:textId="77777777" w:rsidR="00ED705B" w:rsidRPr="006E0AFE" w:rsidRDefault="00ED705B" w:rsidP="00ED705B">
            <w:pPr>
              <w:jc w:val="right"/>
              <w:rPr>
                <w:sz w:val="20"/>
                <w:szCs w:val="20"/>
              </w:rPr>
            </w:pPr>
            <w:r w:rsidRPr="006E0AFE">
              <w:rPr>
                <w:sz w:val="20"/>
                <w:szCs w:val="20"/>
              </w:rPr>
              <w:t>3.950.000</w:t>
            </w:r>
          </w:p>
        </w:tc>
      </w:tr>
      <w:tr w:rsidR="00ED705B" w:rsidRPr="006E0AFE" w14:paraId="4C4D78E1" w14:textId="77777777" w:rsidTr="00845179">
        <w:trPr>
          <w:trHeight w:val="270"/>
        </w:trPr>
        <w:tc>
          <w:tcPr>
            <w:tcW w:w="3196" w:type="dxa"/>
            <w:shd w:val="clear" w:color="auto" w:fill="auto"/>
            <w:vAlign w:val="center"/>
            <w:hideMark/>
          </w:tcPr>
          <w:p w14:paraId="21CC6BB6" w14:textId="77777777" w:rsidR="00ED705B" w:rsidRPr="006E0AFE" w:rsidRDefault="00ED705B" w:rsidP="00ED705B">
            <w:pPr>
              <w:jc w:val="center"/>
              <w:rPr>
                <w:sz w:val="20"/>
                <w:szCs w:val="20"/>
              </w:rPr>
            </w:pPr>
            <w:r w:rsidRPr="006E0AFE">
              <w:rPr>
                <w:sz w:val="20"/>
                <w:szCs w:val="20"/>
              </w:rPr>
              <w:t>2.2.10. GOSPODARSTVO</w:t>
            </w:r>
          </w:p>
        </w:tc>
        <w:tc>
          <w:tcPr>
            <w:tcW w:w="1469" w:type="dxa"/>
            <w:shd w:val="clear" w:color="auto" w:fill="auto"/>
            <w:vAlign w:val="center"/>
            <w:hideMark/>
          </w:tcPr>
          <w:p w14:paraId="3A4CF07F" w14:textId="77777777" w:rsidR="00ED705B" w:rsidRPr="006E0AFE" w:rsidRDefault="00ED705B" w:rsidP="00ED705B">
            <w:pPr>
              <w:jc w:val="right"/>
              <w:rPr>
                <w:sz w:val="20"/>
                <w:szCs w:val="20"/>
              </w:rPr>
            </w:pPr>
            <w:r w:rsidRPr="006E0AFE">
              <w:rPr>
                <w:sz w:val="20"/>
                <w:szCs w:val="20"/>
              </w:rPr>
              <w:t>960.000</w:t>
            </w:r>
          </w:p>
        </w:tc>
        <w:tc>
          <w:tcPr>
            <w:tcW w:w="1415" w:type="dxa"/>
            <w:shd w:val="clear" w:color="auto" w:fill="auto"/>
            <w:vAlign w:val="center"/>
            <w:hideMark/>
          </w:tcPr>
          <w:p w14:paraId="34B307A3" w14:textId="77777777" w:rsidR="00ED705B" w:rsidRPr="006E0AFE" w:rsidRDefault="00ED705B" w:rsidP="00ED705B">
            <w:pPr>
              <w:jc w:val="right"/>
              <w:rPr>
                <w:sz w:val="20"/>
                <w:szCs w:val="20"/>
              </w:rPr>
            </w:pPr>
            <w:r w:rsidRPr="006E0AFE">
              <w:rPr>
                <w:sz w:val="20"/>
                <w:szCs w:val="20"/>
              </w:rPr>
              <w:t>870.000</w:t>
            </w:r>
          </w:p>
        </w:tc>
        <w:tc>
          <w:tcPr>
            <w:tcW w:w="1072" w:type="dxa"/>
            <w:shd w:val="clear" w:color="auto" w:fill="auto"/>
            <w:vAlign w:val="center"/>
            <w:hideMark/>
          </w:tcPr>
          <w:p w14:paraId="5338C757" w14:textId="77777777" w:rsidR="00ED705B" w:rsidRPr="006E0AFE" w:rsidRDefault="00ED705B" w:rsidP="00ED705B">
            <w:pPr>
              <w:jc w:val="center"/>
              <w:rPr>
                <w:sz w:val="20"/>
                <w:szCs w:val="20"/>
              </w:rPr>
            </w:pPr>
            <w:r w:rsidRPr="006E0AFE">
              <w:rPr>
                <w:sz w:val="20"/>
                <w:szCs w:val="20"/>
              </w:rPr>
              <w:t>90,6</w:t>
            </w:r>
          </w:p>
        </w:tc>
        <w:tc>
          <w:tcPr>
            <w:tcW w:w="1494" w:type="dxa"/>
            <w:shd w:val="clear" w:color="auto" w:fill="auto"/>
            <w:vAlign w:val="center"/>
            <w:hideMark/>
          </w:tcPr>
          <w:p w14:paraId="44442740" w14:textId="77777777" w:rsidR="00ED705B" w:rsidRPr="006E0AFE" w:rsidRDefault="00ED705B" w:rsidP="00ED705B">
            <w:pPr>
              <w:jc w:val="right"/>
              <w:rPr>
                <w:sz w:val="20"/>
                <w:szCs w:val="20"/>
              </w:rPr>
            </w:pPr>
            <w:r w:rsidRPr="006E0AFE">
              <w:rPr>
                <w:sz w:val="20"/>
                <w:szCs w:val="20"/>
              </w:rPr>
              <w:t>890.000</w:t>
            </w:r>
          </w:p>
        </w:tc>
        <w:tc>
          <w:tcPr>
            <w:tcW w:w="1494" w:type="dxa"/>
            <w:shd w:val="clear" w:color="auto" w:fill="auto"/>
            <w:vAlign w:val="center"/>
            <w:hideMark/>
          </w:tcPr>
          <w:p w14:paraId="05A2A981" w14:textId="77777777" w:rsidR="00ED705B" w:rsidRPr="006E0AFE" w:rsidRDefault="00ED705B" w:rsidP="00ED705B">
            <w:pPr>
              <w:jc w:val="right"/>
              <w:rPr>
                <w:sz w:val="20"/>
                <w:szCs w:val="20"/>
              </w:rPr>
            </w:pPr>
            <w:r w:rsidRPr="006E0AFE">
              <w:rPr>
                <w:sz w:val="20"/>
                <w:szCs w:val="20"/>
              </w:rPr>
              <w:t>890.000</w:t>
            </w:r>
          </w:p>
        </w:tc>
      </w:tr>
      <w:tr w:rsidR="00ED705B" w:rsidRPr="006E0AFE" w14:paraId="313C6E98" w14:textId="77777777" w:rsidTr="00845179">
        <w:trPr>
          <w:trHeight w:val="270"/>
        </w:trPr>
        <w:tc>
          <w:tcPr>
            <w:tcW w:w="3196" w:type="dxa"/>
            <w:shd w:val="clear" w:color="auto" w:fill="auto"/>
            <w:vAlign w:val="center"/>
            <w:hideMark/>
          </w:tcPr>
          <w:p w14:paraId="5323205C" w14:textId="77777777" w:rsidR="00ED705B" w:rsidRPr="006E0AFE" w:rsidRDefault="00ED705B" w:rsidP="00ED705B">
            <w:pPr>
              <w:jc w:val="center"/>
              <w:rPr>
                <w:sz w:val="20"/>
                <w:szCs w:val="20"/>
              </w:rPr>
            </w:pPr>
            <w:r w:rsidRPr="006E0AFE">
              <w:rPr>
                <w:sz w:val="20"/>
                <w:szCs w:val="20"/>
              </w:rPr>
              <w:t>2.2.11. ZAŠTITA OKOLIŠA</w:t>
            </w:r>
          </w:p>
        </w:tc>
        <w:tc>
          <w:tcPr>
            <w:tcW w:w="1469" w:type="dxa"/>
            <w:shd w:val="clear" w:color="auto" w:fill="auto"/>
            <w:vAlign w:val="center"/>
            <w:hideMark/>
          </w:tcPr>
          <w:p w14:paraId="059D5459" w14:textId="77777777" w:rsidR="00ED705B" w:rsidRPr="006E0AFE" w:rsidRDefault="00ED705B" w:rsidP="00ED705B">
            <w:pPr>
              <w:jc w:val="right"/>
              <w:rPr>
                <w:sz w:val="20"/>
                <w:szCs w:val="20"/>
              </w:rPr>
            </w:pPr>
            <w:r w:rsidRPr="006E0AFE">
              <w:rPr>
                <w:sz w:val="20"/>
                <w:szCs w:val="20"/>
              </w:rPr>
              <w:t>26.162.600</w:t>
            </w:r>
          </w:p>
        </w:tc>
        <w:tc>
          <w:tcPr>
            <w:tcW w:w="1415" w:type="dxa"/>
            <w:shd w:val="clear" w:color="auto" w:fill="auto"/>
            <w:vAlign w:val="center"/>
            <w:hideMark/>
          </w:tcPr>
          <w:p w14:paraId="7FB99586" w14:textId="77777777" w:rsidR="00ED705B" w:rsidRPr="006E0AFE" w:rsidRDefault="00ED705B" w:rsidP="00ED705B">
            <w:pPr>
              <w:jc w:val="right"/>
              <w:rPr>
                <w:sz w:val="20"/>
                <w:szCs w:val="20"/>
              </w:rPr>
            </w:pPr>
            <w:r w:rsidRPr="006E0AFE">
              <w:rPr>
                <w:sz w:val="20"/>
                <w:szCs w:val="20"/>
              </w:rPr>
              <w:t>10.425.000</w:t>
            </w:r>
          </w:p>
        </w:tc>
        <w:tc>
          <w:tcPr>
            <w:tcW w:w="1072" w:type="dxa"/>
            <w:shd w:val="clear" w:color="auto" w:fill="auto"/>
            <w:vAlign w:val="center"/>
            <w:hideMark/>
          </w:tcPr>
          <w:p w14:paraId="0DAA228E" w14:textId="77777777" w:rsidR="00ED705B" w:rsidRPr="006E0AFE" w:rsidRDefault="00ED705B" w:rsidP="00ED705B">
            <w:pPr>
              <w:jc w:val="center"/>
              <w:rPr>
                <w:sz w:val="20"/>
                <w:szCs w:val="20"/>
              </w:rPr>
            </w:pPr>
            <w:r w:rsidRPr="006E0AFE">
              <w:rPr>
                <w:sz w:val="20"/>
                <w:szCs w:val="20"/>
              </w:rPr>
              <w:t>39,8</w:t>
            </w:r>
          </w:p>
        </w:tc>
        <w:tc>
          <w:tcPr>
            <w:tcW w:w="1494" w:type="dxa"/>
            <w:shd w:val="clear" w:color="auto" w:fill="auto"/>
            <w:vAlign w:val="center"/>
            <w:hideMark/>
          </w:tcPr>
          <w:p w14:paraId="52FC5237" w14:textId="77777777" w:rsidR="00ED705B" w:rsidRPr="006E0AFE" w:rsidRDefault="00ED705B" w:rsidP="00ED705B">
            <w:pPr>
              <w:jc w:val="right"/>
              <w:rPr>
                <w:sz w:val="20"/>
                <w:szCs w:val="20"/>
              </w:rPr>
            </w:pPr>
            <w:r w:rsidRPr="006E0AFE">
              <w:rPr>
                <w:sz w:val="20"/>
                <w:szCs w:val="20"/>
              </w:rPr>
              <w:t>255.000</w:t>
            </w:r>
          </w:p>
        </w:tc>
        <w:tc>
          <w:tcPr>
            <w:tcW w:w="1494" w:type="dxa"/>
            <w:shd w:val="clear" w:color="auto" w:fill="auto"/>
            <w:vAlign w:val="center"/>
            <w:hideMark/>
          </w:tcPr>
          <w:p w14:paraId="34EADD66" w14:textId="77777777" w:rsidR="00ED705B" w:rsidRPr="006E0AFE" w:rsidRDefault="00ED705B" w:rsidP="00ED705B">
            <w:pPr>
              <w:jc w:val="right"/>
              <w:rPr>
                <w:sz w:val="20"/>
                <w:szCs w:val="20"/>
              </w:rPr>
            </w:pPr>
            <w:r w:rsidRPr="006E0AFE">
              <w:rPr>
                <w:sz w:val="20"/>
                <w:szCs w:val="20"/>
              </w:rPr>
              <w:t>255.000</w:t>
            </w:r>
          </w:p>
        </w:tc>
      </w:tr>
      <w:tr w:rsidR="00ED705B" w:rsidRPr="006E0AFE" w14:paraId="3D88BAAA" w14:textId="77777777" w:rsidTr="00845179">
        <w:trPr>
          <w:trHeight w:val="525"/>
        </w:trPr>
        <w:tc>
          <w:tcPr>
            <w:tcW w:w="3196" w:type="dxa"/>
            <w:shd w:val="clear" w:color="auto" w:fill="auto"/>
            <w:vAlign w:val="center"/>
            <w:hideMark/>
          </w:tcPr>
          <w:p w14:paraId="766B7D34" w14:textId="77777777" w:rsidR="00ED705B" w:rsidRPr="006E0AFE" w:rsidRDefault="00ED705B" w:rsidP="00ED705B">
            <w:pPr>
              <w:jc w:val="center"/>
              <w:rPr>
                <w:sz w:val="20"/>
                <w:szCs w:val="20"/>
              </w:rPr>
            </w:pPr>
            <w:r w:rsidRPr="006E0AFE">
              <w:rPr>
                <w:sz w:val="20"/>
                <w:szCs w:val="20"/>
              </w:rPr>
              <w:t xml:space="preserve">2.2.12. STRUČNE SLUŽBE OPĆINSKE UPRAVE </w:t>
            </w:r>
          </w:p>
        </w:tc>
        <w:tc>
          <w:tcPr>
            <w:tcW w:w="1469" w:type="dxa"/>
            <w:shd w:val="clear" w:color="auto" w:fill="auto"/>
            <w:vAlign w:val="center"/>
            <w:hideMark/>
          </w:tcPr>
          <w:p w14:paraId="14AF38BE" w14:textId="77777777" w:rsidR="00ED705B" w:rsidRPr="006E0AFE" w:rsidRDefault="00ED705B" w:rsidP="00ED705B">
            <w:pPr>
              <w:jc w:val="right"/>
              <w:rPr>
                <w:sz w:val="20"/>
                <w:szCs w:val="20"/>
              </w:rPr>
            </w:pPr>
            <w:r w:rsidRPr="006E0AFE">
              <w:rPr>
                <w:sz w:val="20"/>
                <w:szCs w:val="20"/>
              </w:rPr>
              <w:t>6.079.476</w:t>
            </w:r>
          </w:p>
        </w:tc>
        <w:tc>
          <w:tcPr>
            <w:tcW w:w="1415" w:type="dxa"/>
            <w:shd w:val="clear" w:color="auto" w:fill="auto"/>
            <w:vAlign w:val="center"/>
            <w:hideMark/>
          </w:tcPr>
          <w:p w14:paraId="21208673" w14:textId="77777777" w:rsidR="00ED705B" w:rsidRPr="006E0AFE" w:rsidRDefault="00ED705B" w:rsidP="00ED705B">
            <w:pPr>
              <w:jc w:val="right"/>
              <w:rPr>
                <w:sz w:val="20"/>
                <w:szCs w:val="20"/>
              </w:rPr>
            </w:pPr>
            <w:r w:rsidRPr="006E0AFE">
              <w:rPr>
                <w:sz w:val="20"/>
                <w:szCs w:val="20"/>
              </w:rPr>
              <w:t>5.294.965</w:t>
            </w:r>
          </w:p>
        </w:tc>
        <w:tc>
          <w:tcPr>
            <w:tcW w:w="1072" w:type="dxa"/>
            <w:shd w:val="clear" w:color="auto" w:fill="auto"/>
            <w:vAlign w:val="center"/>
            <w:hideMark/>
          </w:tcPr>
          <w:p w14:paraId="77D2B0CE" w14:textId="77777777" w:rsidR="00ED705B" w:rsidRPr="006E0AFE" w:rsidRDefault="00ED705B" w:rsidP="00ED705B">
            <w:pPr>
              <w:jc w:val="center"/>
              <w:rPr>
                <w:sz w:val="20"/>
                <w:szCs w:val="20"/>
              </w:rPr>
            </w:pPr>
            <w:r w:rsidRPr="006E0AFE">
              <w:rPr>
                <w:sz w:val="20"/>
                <w:szCs w:val="20"/>
              </w:rPr>
              <w:t>87,1</w:t>
            </w:r>
          </w:p>
        </w:tc>
        <w:tc>
          <w:tcPr>
            <w:tcW w:w="1494" w:type="dxa"/>
            <w:shd w:val="clear" w:color="auto" w:fill="auto"/>
            <w:vAlign w:val="center"/>
            <w:hideMark/>
          </w:tcPr>
          <w:p w14:paraId="68D5D687" w14:textId="77777777" w:rsidR="00ED705B" w:rsidRPr="006E0AFE" w:rsidRDefault="00ED705B" w:rsidP="00ED705B">
            <w:pPr>
              <w:jc w:val="right"/>
              <w:rPr>
                <w:sz w:val="20"/>
                <w:szCs w:val="20"/>
              </w:rPr>
            </w:pPr>
            <w:r w:rsidRPr="006E0AFE">
              <w:rPr>
                <w:sz w:val="20"/>
                <w:szCs w:val="20"/>
              </w:rPr>
              <w:t>5.723.575</w:t>
            </w:r>
          </w:p>
        </w:tc>
        <w:tc>
          <w:tcPr>
            <w:tcW w:w="1494" w:type="dxa"/>
            <w:shd w:val="clear" w:color="auto" w:fill="auto"/>
            <w:vAlign w:val="center"/>
            <w:hideMark/>
          </w:tcPr>
          <w:p w14:paraId="6E93F772" w14:textId="77777777" w:rsidR="00ED705B" w:rsidRPr="006E0AFE" w:rsidRDefault="00ED705B" w:rsidP="00ED705B">
            <w:pPr>
              <w:jc w:val="right"/>
              <w:rPr>
                <w:sz w:val="20"/>
                <w:szCs w:val="20"/>
              </w:rPr>
            </w:pPr>
            <w:r w:rsidRPr="006E0AFE">
              <w:rPr>
                <w:sz w:val="20"/>
                <w:szCs w:val="20"/>
              </w:rPr>
              <w:t>5.823.575</w:t>
            </w:r>
          </w:p>
        </w:tc>
      </w:tr>
      <w:tr w:rsidR="00ED705B" w:rsidRPr="006E0AFE" w14:paraId="48C2A235" w14:textId="77777777" w:rsidTr="00845179">
        <w:trPr>
          <w:trHeight w:val="525"/>
        </w:trPr>
        <w:tc>
          <w:tcPr>
            <w:tcW w:w="3196" w:type="dxa"/>
            <w:shd w:val="clear" w:color="auto" w:fill="auto"/>
            <w:vAlign w:val="center"/>
            <w:hideMark/>
          </w:tcPr>
          <w:p w14:paraId="416DD51D" w14:textId="77777777" w:rsidR="00ED705B" w:rsidRPr="006E0AFE" w:rsidRDefault="00ED705B" w:rsidP="00ED705B">
            <w:pPr>
              <w:jc w:val="center"/>
              <w:rPr>
                <w:sz w:val="20"/>
                <w:szCs w:val="20"/>
              </w:rPr>
            </w:pPr>
            <w:r w:rsidRPr="006E0AFE">
              <w:rPr>
                <w:sz w:val="20"/>
                <w:szCs w:val="20"/>
              </w:rPr>
              <w:t>2.2.13. PROGRAM ODRŽAVANJA KOMUNALNE INFR.</w:t>
            </w:r>
          </w:p>
        </w:tc>
        <w:tc>
          <w:tcPr>
            <w:tcW w:w="1469" w:type="dxa"/>
            <w:shd w:val="clear" w:color="auto" w:fill="auto"/>
            <w:vAlign w:val="center"/>
            <w:hideMark/>
          </w:tcPr>
          <w:p w14:paraId="2D958CB5" w14:textId="77777777" w:rsidR="00ED705B" w:rsidRPr="006E0AFE" w:rsidRDefault="00ED705B" w:rsidP="00ED705B">
            <w:pPr>
              <w:jc w:val="right"/>
              <w:rPr>
                <w:sz w:val="20"/>
                <w:szCs w:val="20"/>
              </w:rPr>
            </w:pPr>
            <w:r w:rsidRPr="006E0AFE">
              <w:rPr>
                <w:sz w:val="20"/>
                <w:szCs w:val="20"/>
              </w:rPr>
              <w:t>5.996.933</w:t>
            </w:r>
          </w:p>
        </w:tc>
        <w:tc>
          <w:tcPr>
            <w:tcW w:w="1415" w:type="dxa"/>
            <w:shd w:val="clear" w:color="auto" w:fill="auto"/>
            <w:vAlign w:val="center"/>
            <w:hideMark/>
          </w:tcPr>
          <w:p w14:paraId="5D43C70E" w14:textId="77777777" w:rsidR="00ED705B" w:rsidRPr="006E0AFE" w:rsidRDefault="00ED705B" w:rsidP="00ED705B">
            <w:pPr>
              <w:jc w:val="right"/>
              <w:rPr>
                <w:sz w:val="20"/>
                <w:szCs w:val="20"/>
              </w:rPr>
            </w:pPr>
            <w:r w:rsidRPr="006E0AFE">
              <w:rPr>
                <w:sz w:val="20"/>
                <w:szCs w:val="20"/>
              </w:rPr>
              <w:t>5.955.000</w:t>
            </w:r>
          </w:p>
        </w:tc>
        <w:tc>
          <w:tcPr>
            <w:tcW w:w="1072" w:type="dxa"/>
            <w:shd w:val="clear" w:color="auto" w:fill="auto"/>
            <w:vAlign w:val="center"/>
            <w:hideMark/>
          </w:tcPr>
          <w:p w14:paraId="0C3852FC" w14:textId="77777777" w:rsidR="00ED705B" w:rsidRPr="006E0AFE" w:rsidRDefault="00ED705B" w:rsidP="00ED705B">
            <w:pPr>
              <w:jc w:val="center"/>
              <w:rPr>
                <w:sz w:val="20"/>
                <w:szCs w:val="20"/>
              </w:rPr>
            </w:pPr>
            <w:r w:rsidRPr="006E0AFE">
              <w:rPr>
                <w:sz w:val="20"/>
                <w:szCs w:val="20"/>
              </w:rPr>
              <w:t>99,3</w:t>
            </w:r>
          </w:p>
        </w:tc>
        <w:tc>
          <w:tcPr>
            <w:tcW w:w="1494" w:type="dxa"/>
            <w:shd w:val="clear" w:color="auto" w:fill="auto"/>
            <w:vAlign w:val="center"/>
            <w:hideMark/>
          </w:tcPr>
          <w:p w14:paraId="67D43A6D" w14:textId="77777777" w:rsidR="00ED705B" w:rsidRPr="006E0AFE" w:rsidRDefault="00ED705B" w:rsidP="00ED705B">
            <w:pPr>
              <w:jc w:val="right"/>
              <w:rPr>
                <w:sz w:val="20"/>
                <w:szCs w:val="20"/>
              </w:rPr>
            </w:pPr>
            <w:r w:rsidRPr="006E0AFE">
              <w:rPr>
                <w:sz w:val="20"/>
                <w:szCs w:val="20"/>
              </w:rPr>
              <w:t>5.720.000</w:t>
            </w:r>
          </w:p>
        </w:tc>
        <w:tc>
          <w:tcPr>
            <w:tcW w:w="1494" w:type="dxa"/>
            <w:shd w:val="clear" w:color="auto" w:fill="auto"/>
            <w:vAlign w:val="center"/>
            <w:hideMark/>
          </w:tcPr>
          <w:p w14:paraId="53D2603B" w14:textId="77777777" w:rsidR="00ED705B" w:rsidRPr="006E0AFE" w:rsidRDefault="00ED705B" w:rsidP="00ED705B">
            <w:pPr>
              <w:jc w:val="right"/>
              <w:rPr>
                <w:sz w:val="20"/>
                <w:szCs w:val="20"/>
              </w:rPr>
            </w:pPr>
            <w:r w:rsidRPr="006E0AFE">
              <w:rPr>
                <w:sz w:val="20"/>
                <w:szCs w:val="20"/>
              </w:rPr>
              <w:t>6.030.000</w:t>
            </w:r>
          </w:p>
        </w:tc>
      </w:tr>
      <w:tr w:rsidR="00ED705B" w:rsidRPr="006E0AFE" w14:paraId="00323225" w14:textId="77777777" w:rsidTr="00845179">
        <w:trPr>
          <w:trHeight w:val="525"/>
        </w:trPr>
        <w:tc>
          <w:tcPr>
            <w:tcW w:w="3196" w:type="dxa"/>
            <w:shd w:val="clear" w:color="auto" w:fill="auto"/>
            <w:vAlign w:val="center"/>
            <w:hideMark/>
          </w:tcPr>
          <w:p w14:paraId="6DD59EDF" w14:textId="77777777" w:rsidR="00ED705B" w:rsidRPr="006E0AFE" w:rsidRDefault="00ED705B" w:rsidP="00ED705B">
            <w:pPr>
              <w:jc w:val="center"/>
              <w:rPr>
                <w:sz w:val="20"/>
                <w:szCs w:val="20"/>
              </w:rPr>
            </w:pPr>
            <w:r w:rsidRPr="006E0AFE">
              <w:rPr>
                <w:sz w:val="20"/>
                <w:szCs w:val="20"/>
              </w:rPr>
              <w:t>2.2.14. PROGRAM GRAĐENJA KOMUNALNE INFR.</w:t>
            </w:r>
          </w:p>
        </w:tc>
        <w:tc>
          <w:tcPr>
            <w:tcW w:w="1469" w:type="dxa"/>
            <w:shd w:val="clear" w:color="auto" w:fill="auto"/>
            <w:vAlign w:val="center"/>
            <w:hideMark/>
          </w:tcPr>
          <w:p w14:paraId="373CC620" w14:textId="77777777" w:rsidR="00ED705B" w:rsidRPr="006E0AFE" w:rsidRDefault="00ED705B" w:rsidP="00ED705B">
            <w:pPr>
              <w:jc w:val="right"/>
              <w:rPr>
                <w:sz w:val="20"/>
                <w:szCs w:val="20"/>
              </w:rPr>
            </w:pPr>
            <w:r w:rsidRPr="006E0AFE">
              <w:rPr>
                <w:sz w:val="20"/>
                <w:szCs w:val="20"/>
              </w:rPr>
              <w:t>10.503.999</w:t>
            </w:r>
          </w:p>
        </w:tc>
        <w:tc>
          <w:tcPr>
            <w:tcW w:w="1415" w:type="dxa"/>
            <w:shd w:val="clear" w:color="auto" w:fill="auto"/>
            <w:vAlign w:val="center"/>
            <w:hideMark/>
          </w:tcPr>
          <w:p w14:paraId="31898FDE" w14:textId="77777777" w:rsidR="00ED705B" w:rsidRPr="006E0AFE" w:rsidRDefault="00ED705B" w:rsidP="00ED705B">
            <w:pPr>
              <w:jc w:val="right"/>
              <w:rPr>
                <w:sz w:val="20"/>
                <w:szCs w:val="20"/>
              </w:rPr>
            </w:pPr>
            <w:r w:rsidRPr="006E0AFE">
              <w:rPr>
                <w:sz w:val="20"/>
                <w:szCs w:val="20"/>
              </w:rPr>
              <w:t>22.505.000</w:t>
            </w:r>
          </w:p>
        </w:tc>
        <w:tc>
          <w:tcPr>
            <w:tcW w:w="1072" w:type="dxa"/>
            <w:shd w:val="clear" w:color="auto" w:fill="auto"/>
            <w:vAlign w:val="center"/>
            <w:hideMark/>
          </w:tcPr>
          <w:p w14:paraId="0561141D" w14:textId="77777777" w:rsidR="00ED705B" w:rsidRPr="006E0AFE" w:rsidRDefault="00ED705B" w:rsidP="00ED705B">
            <w:pPr>
              <w:jc w:val="center"/>
              <w:rPr>
                <w:sz w:val="20"/>
                <w:szCs w:val="20"/>
              </w:rPr>
            </w:pPr>
            <w:r w:rsidRPr="006E0AFE">
              <w:rPr>
                <w:sz w:val="20"/>
                <w:szCs w:val="20"/>
              </w:rPr>
              <w:t>214,3</w:t>
            </w:r>
          </w:p>
        </w:tc>
        <w:tc>
          <w:tcPr>
            <w:tcW w:w="1494" w:type="dxa"/>
            <w:shd w:val="clear" w:color="auto" w:fill="auto"/>
            <w:vAlign w:val="center"/>
            <w:hideMark/>
          </w:tcPr>
          <w:p w14:paraId="784D558D" w14:textId="77777777" w:rsidR="00ED705B" w:rsidRPr="006E0AFE" w:rsidRDefault="00ED705B" w:rsidP="00ED705B">
            <w:pPr>
              <w:jc w:val="right"/>
              <w:rPr>
                <w:sz w:val="20"/>
                <w:szCs w:val="20"/>
              </w:rPr>
            </w:pPr>
            <w:r w:rsidRPr="006E0AFE">
              <w:rPr>
                <w:sz w:val="20"/>
                <w:szCs w:val="20"/>
              </w:rPr>
              <w:t>15.965.000</w:t>
            </w:r>
          </w:p>
        </w:tc>
        <w:tc>
          <w:tcPr>
            <w:tcW w:w="1494" w:type="dxa"/>
            <w:shd w:val="clear" w:color="auto" w:fill="auto"/>
            <w:vAlign w:val="center"/>
            <w:hideMark/>
          </w:tcPr>
          <w:p w14:paraId="49D80B31" w14:textId="77777777" w:rsidR="00ED705B" w:rsidRPr="006E0AFE" w:rsidRDefault="00ED705B" w:rsidP="00ED705B">
            <w:pPr>
              <w:jc w:val="right"/>
              <w:rPr>
                <w:sz w:val="20"/>
                <w:szCs w:val="20"/>
              </w:rPr>
            </w:pPr>
            <w:r w:rsidRPr="006E0AFE">
              <w:rPr>
                <w:sz w:val="20"/>
                <w:szCs w:val="20"/>
              </w:rPr>
              <w:t>22.730.000</w:t>
            </w:r>
          </w:p>
        </w:tc>
      </w:tr>
      <w:tr w:rsidR="00ED705B" w:rsidRPr="006E0AFE" w14:paraId="46EBD03E" w14:textId="77777777" w:rsidTr="00845179">
        <w:trPr>
          <w:trHeight w:val="525"/>
        </w:trPr>
        <w:tc>
          <w:tcPr>
            <w:tcW w:w="3196" w:type="dxa"/>
            <w:shd w:val="clear" w:color="auto" w:fill="auto"/>
            <w:vAlign w:val="center"/>
            <w:hideMark/>
          </w:tcPr>
          <w:p w14:paraId="20BA52AA" w14:textId="77777777" w:rsidR="00ED705B" w:rsidRPr="006E0AFE" w:rsidRDefault="00ED705B" w:rsidP="00ED705B">
            <w:pPr>
              <w:jc w:val="center"/>
              <w:rPr>
                <w:sz w:val="20"/>
                <w:szCs w:val="20"/>
              </w:rPr>
            </w:pPr>
            <w:r w:rsidRPr="006E0AFE">
              <w:rPr>
                <w:sz w:val="20"/>
                <w:szCs w:val="20"/>
              </w:rPr>
              <w:t>2.2.15.PROGRAM GRAĐENJA VODNIH GRAĐEVINA</w:t>
            </w:r>
          </w:p>
        </w:tc>
        <w:tc>
          <w:tcPr>
            <w:tcW w:w="1469" w:type="dxa"/>
            <w:shd w:val="clear" w:color="auto" w:fill="auto"/>
            <w:vAlign w:val="center"/>
            <w:hideMark/>
          </w:tcPr>
          <w:p w14:paraId="27021775" w14:textId="77777777" w:rsidR="00ED705B" w:rsidRPr="006E0AFE" w:rsidRDefault="00ED705B" w:rsidP="00ED705B">
            <w:pPr>
              <w:jc w:val="right"/>
              <w:rPr>
                <w:sz w:val="20"/>
                <w:szCs w:val="20"/>
              </w:rPr>
            </w:pPr>
            <w:r w:rsidRPr="006E0AFE">
              <w:rPr>
                <w:sz w:val="20"/>
                <w:szCs w:val="20"/>
              </w:rPr>
              <w:t>2.730.000</w:t>
            </w:r>
          </w:p>
        </w:tc>
        <w:tc>
          <w:tcPr>
            <w:tcW w:w="1415" w:type="dxa"/>
            <w:shd w:val="clear" w:color="auto" w:fill="auto"/>
            <w:vAlign w:val="center"/>
            <w:hideMark/>
          </w:tcPr>
          <w:p w14:paraId="164AA13F" w14:textId="77777777" w:rsidR="00ED705B" w:rsidRPr="006E0AFE" w:rsidRDefault="00ED705B" w:rsidP="00ED705B">
            <w:pPr>
              <w:jc w:val="right"/>
              <w:rPr>
                <w:sz w:val="20"/>
                <w:szCs w:val="20"/>
              </w:rPr>
            </w:pPr>
            <w:r w:rsidRPr="006E0AFE">
              <w:rPr>
                <w:sz w:val="20"/>
                <w:szCs w:val="20"/>
              </w:rPr>
              <w:t>1.950.000</w:t>
            </w:r>
          </w:p>
        </w:tc>
        <w:tc>
          <w:tcPr>
            <w:tcW w:w="1072" w:type="dxa"/>
            <w:shd w:val="clear" w:color="auto" w:fill="auto"/>
            <w:vAlign w:val="center"/>
            <w:hideMark/>
          </w:tcPr>
          <w:p w14:paraId="4818BB23" w14:textId="77777777" w:rsidR="00ED705B" w:rsidRPr="006E0AFE" w:rsidRDefault="00ED705B" w:rsidP="00ED705B">
            <w:pPr>
              <w:jc w:val="center"/>
              <w:rPr>
                <w:sz w:val="20"/>
                <w:szCs w:val="20"/>
              </w:rPr>
            </w:pPr>
            <w:r w:rsidRPr="006E0AFE">
              <w:rPr>
                <w:sz w:val="20"/>
                <w:szCs w:val="20"/>
              </w:rPr>
              <w:t>71,4</w:t>
            </w:r>
          </w:p>
        </w:tc>
        <w:tc>
          <w:tcPr>
            <w:tcW w:w="1494" w:type="dxa"/>
            <w:shd w:val="clear" w:color="auto" w:fill="auto"/>
            <w:vAlign w:val="center"/>
            <w:hideMark/>
          </w:tcPr>
          <w:p w14:paraId="77D011F7" w14:textId="77777777" w:rsidR="00ED705B" w:rsidRPr="006E0AFE" w:rsidRDefault="00ED705B" w:rsidP="00ED705B">
            <w:pPr>
              <w:jc w:val="right"/>
              <w:rPr>
                <w:sz w:val="20"/>
                <w:szCs w:val="20"/>
              </w:rPr>
            </w:pPr>
            <w:r w:rsidRPr="006E0AFE">
              <w:rPr>
                <w:sz w:val="20"/>
                <w:szCs w:val="20"/>
              </w:rPr>
              <w:t>60.000</w:t>
            </w:r>
          </w:p>
        </w:tc>
        <w:tc>
          <w:tcPr>
            <w:tcW w:w="1494" w:type="dxa"/>
            <w:shd w:val="clear" w:color="auto" w:fill="auto"/>
            <w:vAlign w:val="center"/>
            <w:hideMark/>
          </w:tcPr>
          <w:p w14:paraId="044E3249" w14:textId="77777777" w:rsidR="00ED705B" w:rsidRPr="006E0AFE" w:rsidRDefault="00ED705B" w:rsidP="00ED705B">
            <w:pPr>
              <w:jc w:val="right"/>
              <w:rPr>
                <w:sz w:val="20"/>
                <w:szCs w:val="20"/>
              </w:rPr>
            </w:pPr>
            <w:r w:rsidRPr="006E0AFE">
              <w:rPr>
                <w:sz w:val="20"/>
                <w:szCs w:val="20"/>
              </w:rPr>
              <w:t>60.000</w:t>
            </w:r>
          </w:p>
        </w:tc>
      </w:tr>
      <w:tr w:rsidR="00ED705B" w:rsidRPr="006E0AFE" w14:paraId="12300818" w14:textId="77777777" w:rsidTr="00845179">
        <w:trPr>
          <w:trHeight w:val="270"/>
        </w:trPr>
        <w:tc>
          <w:tcPr>
            <w:tcW w:w="3196" w:type="dxa"/>
            <w:shd w:val="clear" w:color="auto" w:fill="auto"/>
            <w:vAlign w:val="center"/>
            <w:hideMark/>
          </w:tcPr>
          <w:p w14:paraId="5FA0BD6D" w14:textId="77777777" w:rsidR="00ED705B" w:rsidRPr="006E0AFE" w:rsidRDefault="00ED705B" w:rsidP="00ED705B">
            <w:pPr>
              <w:jc w:val="center"/>
              <w:rPr>
                <w:sz w:val="20"/>
                <w:szCs w:val="20"/>
              </w:rPr>
            </w:pPr>
            <w:r w:rsidRPr="006E0AFE">
              <w:rPr>
                <w:sz w:val="20"/>
                <w:szCs w:val="20"/>
              </w:rPr>
              <w:t>2.2.16. UPRAVLJANJE IMOVINOM</w:t>
            </w:r>
          </w:p>
        </w:tc>
        <w:tc>
          <w:tcPr>
            <w:tcW w:w="1469" w:type="dxa"/>
            <w:shd w:val="clear" w:color="auto" w:fill="auto"/>
            <w:vAlign w:val="center"/>
            <w:hideMark/>
          </w:tcPr>
          <w:p w14:paraId="348FF5CF" w14:textId="77777777" w:rsidR="00ED705B" w:rsidRPr="006E0AFE" w:rsidRDefault="00ED705B" w:rsidP="00ED705B">
            <w:pPr>
              <w:jc w:val="right"/>
              <w:rPr>
                <w:sz w:val="20"/>
                <w:szCs w:val="20"/>
              </w:rPr>
            </w:pPr>
            <w:r w:rsidRPr="006E0AFE">
              <w:rPr>
                <w:sz w:val="20"/>
                <w:szCs w:val="20"/>
              </w:rPr>
              <w:t>31.907.855</w:t>
            </w:r>
          </w:p>
        </w:tc>
        <w:tc>
          <w:tcPr>
            <w:tcW w:w="1415" w:type="dxa"/>
            <w:shd w:val="clear" w:color="auto" w:fill="auto"/>
            <w:vAlign w:val="center"/>
            <w:hideMark/>
          </w:tcPr>
          <w:p w14:paraId="11D5DFAB" w14:textId="77777777" w:rsidR="00ED705B" w:rsidRPr="006E0AFE" w:rsidRDefault="00ED705B" w:rsidP="00ED705B">
            <w:pPr>
              <w:jc w:val="right"/>
              <w:rPr>
                <w:sz w:val="20"/>
                <w:szCs w:val="20"/>
              </w:rPr>
            </w:pPr>
            <w:r w:rsidRPr="006E0AFE">
              <w:rPr>
                <w:sz w:val="20"/>
                <w:szCs w:val="20"/>
              </w:rPr>
              <w:t>14.018.000</w:t>
            </w:r>
          </w:p>
        </w:tc>
        <w:tc>
          <w:tcPr>
            <w:tcW w:w="1072" w:type="dxa"/>
            <w:shd w:val="clear" w:color="auto" w:fill="auto"/>
            <w:vAlign w:val="center"/>
            <w:hideMark/>
          </w:tcPr>
          <w:p w14:paraId="54F251F3" w14:textId="77777777" w:rsidR="00ED705B" w:rsidRPr="006E0AFE" w:rsidRDefault="00ED705B" w:rsidP="00ED705B">
            <w:pPr>
              <w:jc w:val="center"/>
              <w:rPr>
                <w:sz w:val="20"/>
                <w:szCs w:val="20"/>
              </w:rPr>
            </w:pPr>
            <w:r w:rsidRPr="006E0AFE">
              <w:rPr>
                <w:sz w:val="20"/>
                <w:szCs w:val="20"/>
              </w:rPr>
              <w:t>43,9</w:t>
            </w:r>
          </w:p>
        </w:tc>
        <w:tc>
          <w:tcPr>
            <w:tcW w:w="1494" w:type="dxa"/>
            <w:shd w:val="clear" w:color="auto" w:fill="auto"/>
            <w:vAlign w:val="center"/>
            <w:hideMark/>
          </w:tcPr>
          <w:p w14:paraId="6F3EC545" w14:textId="77777777" w:rsidR="00ED705B" w:rsidRPr="006E0AFE" w:rsidRDefault="00ED705B" w:rsidP="00ED705B">
            <w:pPr>
              <w:jc w:val="right"/>
              <w:rPr>
                <w:sz w:val="20"/>
                <w:szCs w:val="20"/>
              </w:rPr>
            </w:pPr>
            <w:r w:rsidRPr="006E0AFE">
              <w:rPr>
                <w:sz w:val="20"/>
                <w:szCs w:val="20"/>
              </w:rPr>
              <w:t>19.923.000</w:t>
            </w:r>
          </w:p>
        </w:tc>
        <w:tc>
          <w:tcPr>
            <w:tcW w:w="1494" w:type="dxa"/>
            <w:shd w:val="clear" w:color="auto" w:fill="auto"/>
            <w:vAlign w:val="center"/>
            <w:hideMark/>
          </w:tcPr>
          <w:p w14:paraId="5622DAC8" w14:textId="77777777" w:rsidR="00ED705B" w:rsidRPr="006E0AFE" w:rsidRDefault="00ED705B" w:rsidP="00ED705B">
            <w:pPr>
              <w:jc w:val="right"/>
              <w:rPr>
                <w:sz w:val="20"/>
                <w:szCs w:val="20"/>
              </w:rPr>
            </w:pPr>
            <w:r w:rsidRPr="006E0AFE">
              <w:rPr>
                <w:sz w:val="20"/>
                <w:szCs w:val="20"/>
              </w:rPr>
              <w:t>14.193.000</w:t>
            </w:r>
          </w:p>
        </w:tc>
      </w:tr>
      <w:tr w:rsidR="00ED705B" w:rsidRPr="006E0AFE" w14:paraId="40FA9306" w14:textId="77777777" w:rsidTr="00845179">
        <w:trPr>
          <w:trHeight w:val="525"/>
        </w:trPr>
        <w:tc>
          <w:tcPr>
            <w:tcW w:w="3196" w:type="dxa"/>
            <w:shd w:val="clear" w:color="auto" w:fill="auto"/>
            <w:vAlign w:val="center"/>
            <w:hideMark/>
          </w:tcPr>
          <w:p w14:paraId="57B3479A" w14:textId="77777777" w:rsidR="00ED705B" w:rsidRPr="006E0AFE" w:rsidRDefault="00ED705B" w:rsidP="00ED705B">
            <w:pPr>
              <w:jc w:val="center"/>
              <w:rPr>
                <w:sz w:val="20"/>
                <w:szCs w:val="20"/>
              </w:rPr>
            </w:pPr>
            <w:r w:rsidRPr="006E0AFE">
              <w:rPr>
                <w:sz w:val="20"/>
                <w:szCs w:val="20"/>
              </w:rPr>
              <w:t>2.2.17. SUFINANCIRANJE JAVNE INFRASTRUKTURE</w:t>
            </w:r>
          </w:p>
        </w:tc>
        <w:tc>
          <w:tcPr>
            <w:tcW w:w="1469" w:type="dxa"/>
            <w:shd w:val="clear" w:color="auto" w:fill="auto"/>
            <w:vAlign w:val="center"/>
            <w:hideMark/>
          </w:tcPr>
          <w:p w14:paraId="13CEB258" w14:textId="77777777" w:rsidR="00ED705B" w:rsidRPr="006E0AFE" w:rsidRDefault="00ED705B" w:rsidP="00ED705B">
            <w:pPr>
              <w:jc w:val="right"/>
              <w:rPr>
                <w:sz w:val="20"/>
                <w:szCs w:val="20"/>
              </w:rPr>
            </w:pPr>
            <w:r w:rsidRPr="006E0AFE">
              <w:rPr>
                <w:sz w:val="20"/>
                <w:szCs w:val="20"/>
              </w:rPr>
              <w:t>1.446.600</w:t>
            </w:r>
          </w:p>
        </w:tc>
        <w:tc>
          <w:tcPr>
            <w:tcW w:w="1415" w:type="dxa"/>
            <w:shd w:val="clear" w:color="auto" w:fill="auto"/>
            <w:vAlign w:val="center"/>
            <w:hideMark/>
          </w:tcPr>
          <w:p w14:paraId="7B9C93CF" w14:textId="77777777" w:rsidR="00ED705B" w:rsidRPr="006E0AFE" w:rsidRDefault="00ED705B" w:rsidP="00ED705B">
            <w:pPr>
              <w:jc w:val="right"/>
              <w:rPr>
                <w:sz w:val="20"/>
                <w:szCs w:val="20"/>
              </w:rPr>
            </w:pPr>
            <w:r w:rsidRPr="006E0AFE">
              <w:rPr>
                <w:sz w:val="20"/>
                <w:szCs w:val="20"/>
              </w:rPr>
              <w:t>1.115.000</w:t>
            </w:r>
          </w:p>
        </w:tc>
        <w:tc>
          <w:tcPr>
            <w:tcW w:w="1072" w:type="dxa"/>
            <w:shd w:val="clear" w:color="auto" w:fill="auto"/>
            <w:vAlign w:val="center"/>
            <w:hideMark/>
          </w:tcPr>
          <w:p w14:paraId="40DF7518" w14:textId="77777777" w:rsidR="00ED705B" w:rsidRPr="006E0AFE" w:rsidRDefault="00ED705B" w:rsidP="00ED705B">
            <w:pPr>
              <w:jc w:val="center"/>
              <w:rPr>
                <w:sz w:val="20"/>
                <w:szCs w:val="20"/>
              </w:rPr>
            </w:pPr>
            <w:r w:rsidRPr="006E0AFE">
              <w:rPr>
                <w:sz w:val="20"/>
                <w:szCs w:val="20"/>
              </w:rPr>
              <w:t>77,1</w:t>
            </w:r>
          </w:p>
        </w:tc>
        <w:tc>
          <w:tcPr>
            <w:tcW w:w="1494" w:type="dxa"/>
            <w:shd w:val="clear" w:color="auto" w:fill="auto"/>
            <w:vAlign w:val="center"/>
            <w:hideMark/>
          </w:tcPr>
          <w:p w14:paraId="579BEE29" w14:textId="77777777" w:rsidR="00ED705B" w:rsidRPr="006E0AFE" w:rsidRDefault="00ED705B" w:rsidP="00ED705B">
            <w:pPr>
              <w:jc w:val="right"/>
              <w:rPr>
                <w:sz w:val="20"/>
                <w:szCs w:val="20"/>
              </w:rPr>
            </w:pPr>
            <w:r w:rsidRPr="006E0AFE">
              <w:rPr>
                <w:sz w:val="20"/>
                <w:szCs w:val="20"/>
              </w:rPr>
              <w:t>700.000</w:t>
            </w:r>
          </w:p>
        </w:tc>
        <w:tc>
          <w:tcPr>
            <w:tcW w:w="1494" w:type="dxa"/>
            <w:shd w:val="clear" w:color="auto" w:fill="auto"/>
            <w:vAlign w:val="center"/>
            <w:hideMark/>
          </w:tcPr>
          <w:p w14:paraId="140C8FEF" w14:textId="77777777" w:rsidR="00ED705B" w:rsidRPr="006E0AFE" w:rsidRDefault="00ED705B" w:rsidP="00ED705B">
            <w:pPr>
              <w:jc w:val="right"/>
              <w:rPr>
                <w:sz w:val="20"/>
                <w:szCs w:val="20"/>
              </w:rPr>
            </w:pPr>
            <w:r w:rsidRPr="006E0AFE">
              <w:rPr>
                <w:sz w:val="20"/>
                <w:szCs w:val="20"/>
              </w:rPr>
              <w:t>700.000</w:t>
            </w:r>
          </w:p>
        </w:tc>
      </w:tr>
      <w:tr w:rsidR="00ED705B" w:rsidRPr="006E0AFE" w14:paraId="5FBB1129" w14:textId="77777777" w:rsidTr="00845179">
        <w:trPr>
          <w:trHeight w:val="270"/>
        </w:trPr>
        <w:tc>
          <w:tcPr>
            <w:tcW w:w="3196" w:type="dxa"/>
            <w:shd w:val="clear" w:color="000000" w:fill="C5D9F1"/>
            <w:vAlign w:val="center"/>
            <w:hideMark/>
          </w:tcPr>
          <w:p w14:paraId="67E726CB" w14:textId="77777777" w:rsidR="00ED705B" w:rsidRPr="006E0AFE" w:rsidRDefault="00ED705B" w:rsidP="00ED705B">
            <w:pPr>
              <w:jc w:val="center"/>
              <w:rPr>
                <w:b/>
                <w:bCs/>
                <w:sz w:val="20"/>
                <w:szCs w:val="20"/>
              </w:rPr>
            </w:pPr>
            <w:r w:rsidRPr="006E0AFE">
              <w:rPr>
                <w:b/>
                <w:bCs/>
                <w:sz w:val="20"/>
                <w:szCs w:val="20"/>
              </w:rPr>
              <w:lastRenderedPageBreak/>
              <w:t>UKUPNO</w:t>
            </w:r>
          </w:p>
        </w:tc>
        <w:tc>
          <w:tcPr>
            <w:tcW w:w="1469" w:type="dxa"/>
            <w:shd w:val="clear" w:color="000000" w:fill="C5D9F1"/>
            <w:vAlign w:val="center"/>
            <w:hideMark/>
          </w:tcPr>
          <w:p w14:paraId="29C81CE1" w14:textId="77777777" w:rsidR="00ED705B" w:rsidRPr="006E0AFE" w:rsidRDefault="00ED705B" w:rsidP="00ED705B">
            <w:pPr>
              <w:jc w:val="right"/>
              <w:rPr>
                <w:b/>
                <w:bCs/>
                <w:sz w:val="20"/>
                <w:szCs w:val="20"/>
              </w:rPr>
            </w:pPr>
            <w:r w:rsidRPr="006E0AFE">
              <w:rPr>
                <w:b/>
                <w:bCs/>
                <w:sz w:val="20"/>
                <w:szCs w:val="20"/>
              </w:rPr>
              <w:t>116.289.667</w:t>
            </w:r>
          </w:p>
        </w:tc>
        <w:tc>
          <w:tcPr>
            <w:tcW w:w="1415" w:type="dxa"/>
            <w:shd w:val="clear" w:color="000000" w:fill="C5D9F1"/>
            <w:vAlign w:val="center"/>
            <w:hideMark/>
          </w:tcPr>
          <w:p w14:paraId="7D08A320" w14:textId="77777777" w:rsidR="00ED705B" w:rsidRPr="006E0AFE" w:rsidRDefault="00ED705B" w:rsidP="00ED705B">
            <w:pPr>
              <w:jc w:val="right"/>
              <w:rPr>
                <w:b/>
                <w:bCs/>
                <w:sz w:val="20"/>
                <w:szCs w:val="20"/>
              </w:rPr>
            </w:pPr>
            <w:r w:rsidRPr="006E0AFE">
              <w:rPr>
                <w:b/>
                <w:bCs/>
                <w:sz w:val="20"/>
                <w:szCs w:val="20"/>
              </w:rPr>
              <w:t>92.649.830</w:t>
            </w:r>
          </w:p>
        </w:tc>
        <w:tc>
          <w:tcPr>
            <w:tcW w:w="1072" w:type="dxa"/>
            <w:shd w:val="clear" w:color="000000" w:fill="C5D9F1"/>
            <w:vAlign w:val="center"/>
            <w:hideMark/>
          </w:tcPr>
          <w:p w14:paraId="4F66F617" w14:textId="77777777" w:rsidR="00ED705B" w:rsidRPr="006E0AFE" w:rsidRDefault="00ED705B" w:rsidP="00ED705B">
            <w:pPr>
              <w:jc w:val="center"/>
              <w:rPr>
                <w:b/>
                <w:bCs/>
                <w:sz w:val="20"/>
                <w:szCs w:val="20"/>
              </w:rPr>
            </w:pPr>
            <w:r w:rsidRPr="006E0AFE">
              <w:rPr>
                <w:b/>
                <w:bCs/>
                <w:sz w:val="20"/>
                <w:szCs w:val="20"/>
              </w:rPr>
              <w:t>79,7</w:t>
            </w:r>
          </w:p>
        </w:tc>
        <w:tc>
          <w:tcPr>
            <w:tcW w:w="1494" w:type="dxa"/>
            <w:shd w:val="clear" w:color="000000" w:fill="C5D9F1"/>
            <w:vAlign w:val="center"/>
            <w:hideMark/>
          </w:tcPr>
          <w:p w14:paraId="3BFBA6C0" w14:textId="77777777" w:rsidR="00ED705B" w:rsidRPr="006E0AFE" w:rsidRDefault="00ED705B" w:rsidP="00ED705B">
            <w:pPr>
              <w:jc w:val="right"/>
              <w:rPr>
                <w:b/>
                <w:bCs/>
                <w:sz w:val="20"/>
                <w:szCs w:val="20"/>
              </w:rPr>
            </w:pPr>
            <w:r w:rsidRPr="006E0AFE">
              <w:rPr>
                <w:b/>
                <w:bCs/>
                <w:sz w:val="20"/>
                <w:szCs w:val="20"/>
              </w:rPr>
              <w:t>79.109.105</w:t>
            </w:r>
          </w:p>
        </w:tc>
        <w:tc>
          <w:tcPr>
            <w:tcW w:w="1494" w:type="dxa"/>
            <w:shd w:val="clear" w:color="000000" w:fill="C5D9F1"/>
            <w:vAlign w:val="center"/>
            <w:hideMark/>
          </w:tcPr>
          <w:p w14:paraId="4038D7C9" w14:textId="77777777" w:rsidR="00ED705B" w:rsidRPr="006E0AFE" w:rsidRDefault="00ED705B" w:rsidP="00ED705B">
            <w:pPr>
              <w:jc w:val="right"/>
              <w:rPr>
                <w:b/>
                <w:bCs/>
                <w:sz w:val="20"/>
                <w:szCs w:val="20"/>
              </w:rPr>
            </w:pPr>
            <w:r w:rsidRPr="006E0AFE">
              <w:rPr>
                <w:b/>
                <w:bCs/>
                <w:sz w:val="20"/>
                <w:szCs w:val="20"/>
              </w:rPr>
              <w:t>79.573.030</w:t>
            </w:r>
          </w:p>
        </w:tc>
      </w:tr>
    </w:tbl>
    <w:p w14:paraId="268E3540" w14:textId="77777777" w:rsidR="00ED705B" w:rsidRPr="006E0AFE" w:rsidRDefault="00ED705B" w:rsidP="00ED705B">
      <w:pPr>
        <w:jc w:val="both"/>
        <w:rPr>
          <w:lang w:eastAsia="en-US"/>
        </w:rPr>
      </w:pPr>
    </w:p>
    <w:p w14:paraId="389DAC8C" w14:textId="77777777" w:rsidR="00ED705B" w:rsidRPr="006E0AFE" w:rsidRDefault="00ED705B" w:rsidP="00ED705B">
      <w:pPr>
        <w:jc w:val="both"/>
        <w:rPr>
          <w:lang w:eastAsia="en-US"/>
        </w:rPr>
      </w:pPr>
      <w:r w:rsidRPr="006E0AFE">
        <w:rPr>
          <w:lang w:eastAsia="en-US"/>
        </w:rPr>
        <w:t>Kada se svi Program grupiraju prema područjima, sredstva Proračuna za 2021. godinu raspoređena su kako slijedi:</w:t>
      </w:r>
    </w:p>
    <w:p w14:paraId="13F1379A" w14:textId="658C4E12" w:rsidR="00ED705B" w:rsidRPr="006E0AFE" w:rsidRDefault="00845179" w:rsidP="00ED705B">
      <w:pPr>
        <w:jc w:val="both"/>
      </w:pPr>
      <w:r>
        <w:rPr>
          <w:noProof/>
        </w:rPr>
        <w:drawing>
          <wp:anchor distT="0" distB="0" distL="114300" distR="114300" simplePos="0" relativeHeight="251658240" behindDoc="0" locked="0" layoutInCell="1" allowOverlap="1" wp14:anchorId="5FE569C7" wp14:editId="69185546">
            <wp:simplePos x="0" y="0"/>
            <wp:positionH relativeFrom="column">
              <wp:posOffset>0</wp:posOffset>
            </wp:positionH>
            <wp:positionV relativeFrom="paragraph">
              <wp:posOffset>160020</wp:posOffset>
            </wp:positionV>
            <wp:extent cx="6591935" cy="4232910"/>
            <wp:effectExtent l="0" t="0" r="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1935" cy="4232910"/>
                    </a:xfrm>
                    <a:prstGeom prst="rect">
                      <a:avLst/>
                    </a:prstGeom>
                    <a:noFill/>
                  </pic:spPr>
                </pic:pic>
              </a:graphicData>
            </a:graphic>
            <wp14:sizeRelH relativeFrom="page">
              <wp14:pctWidth>0</wp14:pctWidth>
            </wp14:sizeRelH>
            <wp14:sizeRelV relativeFrom="page">
              <wp14:pctHeight>0</wp14:pctHeight>
            </wp14:sizeRelV>
          </wp:anchor>
        </w:drawing>
      </w:r>
    </w:p>
    <w:p w14:paraId="27EEC006" w14:textId="77777777" w:rsidR="00ED705B" w:rsidRPr="006E0AFE" w:rsidRDefault="00ED705B" w:rsidP="00ED705B">
      <w:pPr>
        <w:jc w:val="both"/>
      </w:pPr>
    </w:p>
    <w:p w14:paraId="0D497F0C" w14:textId="77777777" w:rsidR="00ED705B" w:rsidRPr="006E0AFE" w:rsidRDefault="00ED705B" w:rsidP="003C525D">
      <w:pPr>
        <w:jc w:val="both"/>
        <w:rPr>
          <w:lang w:eastAsia="en-US"/>
        </w:rPr>
      </w:pPr>
      <w:r w:rsidRPr="006E0AFE">
        <w:rPr>
          <w:lang w:eastAsia="en-US"/>
        </w:rPr>
        <w:t>Iz navedenih podataka vidljivo je da preko 20% Proračuna za 2021. godinu otpada na javne potrebe u društvenim djelatnostima koje uključuju izdavanja za predškolski odgoj (13,2%) što uključenju aktivnosti Općine i troškove rada Dječjeg vrtića Matulji, školstvo i mlade (1,7%), kulturu (2</w:t>
      </w:r>
      <w:r w:rsidR="007A34D5">
        <w:rPr>
          <w:lang w:eastAsia="en-US"/>
        </w:rPr>
        <w:t>,3</w:t>
      </w:r>
      <w:r w:rsidRPr="006E0AFE">
        <w:rPr>
          <w:lang w:eastAsia="en-US"/>
        </w:rPr>
        <w:t>%), sport (1,8%), socijalnu skrb i zdravstvenu zaštitu (3,5%). Za Program Upravljanje imovinom (održavanje objekata Općine i investicije u društvenu infrastrukturu) planira se izdvojiti 15</w:t>
      </w:r>
      <w:r w:rsidR="007A34D5">
        <w:rPr>
          <w:lang w:eastAsia="en-US"/>
        </w:rPr>
        <w:t>,1</w:t>
      </w:r>
      <w:r w:rsidRPr="006E0AFE">
        <w:rPr>
          <w:lang w:eastAsia="en-US"/>
        </w:rPr>
        <w:t>% proračuna, dok se za komunalni segment planira 32</w:t>
      </w:r>
      <w:r w:rsidR="00EB5215">
        <w:rPr>
          <w:lang w:eastAsia="en-US"/>
        </w:rPr>
        <w:t>,8</w:t>
      </w:r>
      <w:r w:rsidRPr="006E0AFE">
        <w:rPr>
          <w:lang w:eastAsia="en-US"/>
        </w:rPr>
        <w:t>% ukupnih sredstava proračuna. Značajan udio imaju i projekti u zaštiti okoliša (11</w:t>
      </w:r>
      <w:r w:rsidR="00EB5215">
        <w:rPr>
          <w:lang w:eastAsia="en-US"/>
        </w:rPr>
        <w:t>,3</w:t>
      </w:r>
      <w:r w:rsidRPr="006E0AFE">
        <w:rPr>
          <w:lang w:eastAsia="en-US"/>
        </w:rPr>
        <w:t xml:space="preserve">%), a što se najvećim dijelom odnosi na troškove sanacije i zatvaranja odlagališta otpada </w:t>
      </w:r>
      <w:proofErr w:type="spellStart"/>
      <w:r w:rsidRPr="006E0AFE">
        <w:rPr>
          <w:lang w:eastAsia="en-US"/>
        </w:rPr>
        <w:t>Osojnica</w:t>
      </w:r>
      <w:proofErr w:type="spellEnd"/>
      <w:r w:rsidRPr="006E0AFE">
        <w:rPr>
          <w:lang w:eastAsia="en-US"/>
        </w:rPr>
        <w:t xml:space="preserve">. </w:t>
      </w:r>
      <w:r w:rsidR="003C525D" w:rsidRPr="006E0AFE">
        <w:rPr>
          <w:lang w:eastAsia="en-US"/>
        </w:rPr>
        <w:t>Troškovi rada Općinskog vijeća, načelnika (izvršnog tijela), mjesne samouprave te stručnih službi u ukupnom pror</w:t>
      </w:r>
      <w:r w:rsidR="001750E1" w:rsidRPr="006E0AFE">
        <w:rPr>
          <w:lang w:eastAsia="en-US"/>
        </w:rPr>
        <w:t>ačunu učestvuju sa 8,</w:t>
      </w:r>
      <w:r w:rsidR="00EB5215">
        <w:rPr>
          <w:lang w:eastAsia="en-US"/>
        </w:rPr>
        <w:t>4</w:t>
      </w:r>
      <w:r w:rsidR="003C525D" w:rsidRPr="006E0AFE">
        <w:rPr>
          <w:lang w:eastAsia="en-US"/>
        </w:rPr>
        <w:t>%</w:t>
      </w:r>
    </w:p>
    <w:p w14:paraId="579BB32B" w14:textId="77777777" w:rsidR="00ED705B" w:rsidRPr="006E0AFE" w:rsidRDefault="00ED705B" w:rsidP="00ED705B">
      <w:pPr>
        <w:jc w:val="both"/>
        <w:rPr>
          <w:sz w:val="22"/>
          <w:szCs w:val="22"/>
          <w:highlight w:val="yellow"/>
          <w:lang w:eastAsia="en-US"/>
        </w:rPr>
      </w:pPr>
    </w:p>
    <w:p w14:paraId="19DF9111" w14:textId="1674BA30" w:rsidR="00A35E6F" w:rsidRPr="006E0AFE" w:rsidRDefault="00ED705B" w:rsidP="003C525D">
      <w:pPr>
        <w:jc w:val="both"/>
      </w:pPr>
      <w:r w:rsidRPr="006E0AFE">
        <w:rPr>
          <w:lang w:eastAsia="en-US"/>
        </w:rPr>
        <w:t>Ako se pak prom</w:t>
      </w:r>
      <w:r w:rsidR="00CD5FB2" w:rsidRPr="006E0AFE">
        <w:rPr>
          <w:lang w:eastAsia="en-US"/>
        </w:rPr>
        <w:t>a</w:t>
      </w:r>
      <w:r w:rsidRPr="006E0AFE">
        <w:rPr>
          <w:lang w:eastAsia="en-US"/>
        </w:rPr>
        <w:t>tra</w:t>
      </w:r>
      <w:r w:rsidR="00CD5FB2" w:rsidRPr="006E0AFE">
        <w:rPr>
          <w:lang w:eastAsia="en-US"/>
        </w:rPr>
        <w:t xml:space="preserve"> trogodišnje razdoblje u ukupnoj vrijednosti od 249.097.965 kuna tada se 26,41% svih izdvajanja odnosi na ulaganja u komunalnu infrastrukturu i vodne građevine, a zajedno sa izdvajanjima za održavanja komunalne infrastrukture čine ukupno 33,5% proračunske potrošnje. Nadalje 23,2% planira se izdvojiti za programe unutar društvenih djelatnosti</w:t>
      </w:r>
      <w:r w:rsidR="00F754E6" w:rsidRPr="006E0AFE">
        <w:rPr>
          <w:lang w:eastAsia="en-US"/>
        </w:rPr>
        <w:t>,</w:t>
      </w:r>
      <w:r w:rsidR="00CD5FB2" w:rsidRPr="006E0AFE">
        <w:rPr>
          <w:lang w:eastAsia="en-US"/>
        </w:rPr>
        <w:t xml:space="preserve"> a 19,32% za održavanje imovine Općine i druge kapitalne investicije u dugotrajnu imovinu. S druge strane učešće izdvajanja za troškove rada općinskog vijeća, izvrš</w:t>
      </w:r>
      <w:r w:rsidR="003C525D" w:rsidRPr="006E0AFE">
        <w:rPr>
          <w:lang w:eastAsia="en-US"/>
        </w:rPr>
        <w:t xml:space="preserve">ne vlasti i </w:t>
      </w:r>
      <w:r w:rsidR="00CD5FB2" w:rsidRPr="006E0AFE">
        <w:rPr>
          <w:lang w:eastAsia="en-US"/>
        </w:rPr>
        <w:t xml:space="preserve">stručnih službi </w:t>
      </w:r>
      <w:r w:rsidR="003C525D" w:rsidRPr="006E0AFE">
        <w:rPr>
          <w:lang w:eastAsia="en-US"/>
        </w:rPr>
        <w:t>i nadalje ne prelaze 10% ukupnog Proračuna.</w:t>
      </w:r>
      <w:r w:rsidR="00761267" w:rsidRPr="006E0AFE">
        <w:rPr>
          <w:lang w:eastAsia="en-US"/>
        </w:rPr>
        <w:t xml:space="preserve"> Iz navedenog je razvidno da </w:t>
      </w:r>
      <w:r w:rsidR="00F27599" w:rsidRPr="006E0AFE">
        <w:rPr>
          <w:lang w:eastAsia="en-US"/>
        </w:rPr>
        <w:t xml:space="preserve">je Proračun za iduće trogodišnje </w:t>
      </w:r>
      <w:r w:rsidR="002A1EDD">
        <w:rPr>
          <w:lang w:eastAsia="en-US"/>
        </w:rPr>
        <w:t>r</w:t>
      </w:r>
      <w:r w:rsidR="00A35E6F" w:rsidRPr="006E0AFE">
        <w:rPr>
          <w:lang w:eastAsia="en-US"/>
        </w:rPr>
        <w:t xml:space="preserve">azdoblje usmjeren na </w:t>
      </w:r>
      <w:r w:rsidR="00297892" w:rsidRPr="006E0AFE">
        <w:rPr>
          <w:lang w:eastAsia="en-US"/>
        </w:rPr>
        <w:t xml:space="preserve">razvoj Općine kroz poticanje gospodarskog </w:t>
      </w:r>
      <w:r w:rsidR="00A35E6F" w:rsidRPr="006E0AFE">
        <w:rPr>
          <w:lang w:eastAsia="en-US"/>
        </w:rPr>
        <w:t>napre</w:t>
      </w:r>
      <w:r w:rsidR="00297892" w:rsidRPr="006E0AFE">
        <w:rPr>
          <w:lang w:eastAsia="en-US"/>
        </w:rPr>
        <w:t>tka u vidu</w:t>
      </w:r>
      <w:r w:rsidR="00A35E6F" w:rsidRPr="006E0AFE">
        <w:rPr>
          <w:lang w:eastAsia="en-US"/>
        </w:rPr>
        <w:t xml:space="preserve"> </w:t>
      </w:r>
      <w:r w:rsidR="00297892" w:rsidRPr="006E0AFE">
        <w:rPr>
          <w:lang w:eastAsia="en-US"/>
        </w:rPr>
        <w:t xml:space="preserve">nastavka strateških </w:t>
      </w:r>
      <w:r w:rsidR="00A35E6F" w:rsidRPr="006E0AFE">
        <w:rPr>
          <w:lang w:eastAsia="en-US"/>
        </w:rPr>
        <w:t>razvoj</w:t>
      </w:r>
      <w:r w:rsidR="00297892" w:rsidRPr="006E0AFE">
        <w:rPr>
          <w:lang w:eastAsia="en-US"/>
        </w:rPr>
        <w:t>nih</w:t>
      </w:r>
      <w:r w:rsidR="00A35E6F" w:rsidRPr="006E0AFE">
        <w:rPr>
          <w:lang w:eastAsia="en-US"/>
        </w:rPr>
        <w:t xml:space="preserve"> projek</w:t>
      </w:r>
      <w:r w:rsidR="00297892" w:rsidRPr="006E0AFE">
        <w:rPr>
          <w:lang w:eastAsia="en-US"/>
        </w:rPr>
        <w:t xml:space="preserve">ata, kao i kroz daljnje poboljšanje standarda života stanovnika Općine uz zadovoljavanje širih </w:t>
      </w:r>
      <w:r w:rsidR="00401701">
        <w:rPr>
          <w:lang w:eastAsia="en-US"/>
        </w:rPr>
        <w:t xml:space="preserve">društvenih </w:t>
      </w:r>
      <w:r w:rsidR="00297892" w:rsidRPr="006E0AFE">
        <w:rPr>
          <w:lang w:eastAsia="en-US"/>
        </w:rPr>
        <w:t>potreba kao i</w:t>
      </w:r>
      <w:r w:rsidR="00757DA0">
        <w:t xml:space="preserve"> pružanja javnih usluga što čini Proračun socijalno/društveno osjetljivim te održivim.</w:t>
      </w:r>
    </w:p>
    <w:p w14:paraId="6E8FD6B9" w14:textId="77777777" w:rsidR="00ED705B" w:rsidRPr="006E0AFE" w:rsidRDefault="00ED705B" w:rsidP="00ED705B">
      <w:pPr>
        <w:jc w:val="both"/>
        <w:rPr>
          <w:sz w:val="22"/>
          <w:szCs w:val="22"/>
          <w:highlight w:val="yellow"/>
          <w:lang w:eastAsia="en-US"/>
        </w:rPr>
      </w:pPr>
    </w:p>
    <w:p w14:paraId="3DE0B662" w14:textId="10DA2BFB" w:rsidR="00845179" w:rsidRPr="00845179" w:rsidRDefault="00845179" w:rsidP="00ED705B">
      <w:pPr>
        <w:jc w:val="both"/>
        <w:rPr>
          <w:sz w:val="22"/>
          <w:szCs w:val="22"/>
          <w:highlight w:val="yellow"/>
          <w:lang w:eastAsia="en-US"/>
        </w:rPr>
      </w:pPr>
      <w:r w:rsidRPr="002132D7">
        <w:rPr>
          <w:noProof/>
        </w:rPr>
        <w:lastRenderedPageBreak/>
        <w:drawing>
          <wp:inline distT="0" distB="0" distL="0" distR="0" wp14:anchorId="2A20CACB" wp14:editId="70A8A54B">
            <wp:extent cx="6496050" cy="5076825"/>
            <wp:effectExtent l="0" t="0" r="0" b="0"/>
            <wp:docPr id="87" name="Objekt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27E3E8" w14:textId="77777777" w:rsidR="00845179" w:rsidRDefault="00845179" w:rsidP="00ED705B">
      <w:pPr>
        <w:jc w:val="both"/>
        <w:rPr>
          <w:lang w:eastAsia="en-US"/>
        </w:rPr>
      </w:pPr>
    </w:p>
    <w:p w14:paraId="1AF070B3" w14:textId="70C1996D" w:rsidR="00ED705B" w:rsidRPr="006E0AFE" w:rsidRDefault="00ED705B" w:rsidP="00ED705B">
      <w:pPr>
        <w:jc w:val="both"/>
        <w:rPr>
          <w:lang w:eastAsia="en-US"/>
        </w:rPr>
      </w:pPr>
      <w:r w:rsidRPr="006E0AFE">
        <w:rPr>
          <w:lang w:eastAsia="en-US"/>
        </w:rPr>
        <w:t>Sastavni dio obrazloženja prijedloga Proračuna su obrazloženja svakog od planiranih Programa kojima su detaljnije opisane aktivnosti i projekti koji se planiraju realizirati u okviru osiguranih sredstava, a koji se nalaze u nastavku kao i prijedlog financijskog plana Dječjeg vrtića Matulji za razdoblje 2021. -2023. godine.</w:t>
      </w:r>
    </w:p>
    <w:p w14:paraId="13FC74D1" w14:textId="77777777" w:rsidR="00ED705B" w:rsidRPr="006E0AFE" w:rsidRDefault="00ED705B" w:rsidP="00ED705B"/>
    <w:p w14:paraId="571A36D0" w14:textId="4AE01136" w:rsidR="00ED705B" w:rsidRPr="006E0AFE" w:rsidRDefault="00ED705B" w:rsidP="00ED705B">
      <w:r w:rsidRPr="006E0AFE">
        <w:t xml:space="preserve">U Matuljima, </w:t>
      </w:r>
      <w:r w:rsidR="002A1EDD">
        <w:t xml:space="preserve">16. </w:t>
      </w:r>
      <w:r w:rsidRPr="006E0AFE">
        <w:t>studeni 2020. godine</w:t>
      </w:r>
      <w:r w:rsidRPr="006E0AFE">
        <w:tab/>
      </w:r>
      <w:r w:rsidRPr="006E0AFE">
        <w:tab/>
      </w:r>
      <w:r w:rsidRPr="006E0AFE">
        <w:tab/>
      </w:r>
    </w:p>
    <w:p w14:paraId="23B5AEF1" w14:textId="77777777" w:rsidR="00ED705B" w:rsidRPr="006E0AFE" w:rsidRDefault="00ED705B" w:rsidP="00ED705B"/>
    <w:p w14:paraId="3C4996E8" w14:textId="77777777" w:rsidR="00ED705B" w:rsidRPr="006E0AFE" w:rsidRDefault="00ED705B" w:rsidP="00ED705B"/>
    <w:p w14:paraId="6E2F23D6" w14:textId="77777777" w:rsidR="00ED705B" w:rsidRPr="006E0AFE" w:rsidRDefault="00ED705B" w:rsidP="00ED705B">
      <w:r w:rsidRPr="006E0AFE">
        <w:tab/>
      </w:r>
      <w:r w:rsidRPr="006E0AFE">
        <w:tab/>
      </w:r>
      <w:r w:rsidRPr="006E0AFE">
        <w:tab/>
      </w:r>
      <w:r w:rsidRPr="006E0AFE">
        <w:tab/>
      </w:r>
      <w:r w:rsidRPr="006E0AFE">
        <w:tab/>
      </w:r>
      <w:r w:rsidRPr="006E0AFE">
        <w:tab/>
      </w:r>
      <w:r w:rsidRPr="006E0AFE">
        <w:tab/>
      </w:r>
      <w:r w:rsidRPr="006E0AFE">
        <w:tab/>
      </w:r>
      <w:r w:rsidRPr="006E0AFE">
        <w:tab/>
        <w:t>OPĆINSKI NAČELNIK</w:t>
      </w:r>
    </w:p>
    <w:p w14:paraId="217EB59D" w14:textId="77777777" w:rsidR="00ED705B" w:rsidRPr="006E0AFE" w:rsidRDefault="00ED705B" w:rsidP="00ED705B">
      <w:r w:rsidRPr="006E0AFE">
        <w:tab/>
      </w:r>
      <w:r w:rsidRPr="006E0AFE">
        <w:tab/>
      </w:r>
      <w:r w:rsidRPr="006E0AFE">
        <w:tab/>
      </w:r>
      <w:r w:rsidRPr="006E0AFE">
        <w:tab/>
      </w:r>
      <w:r w:rsidRPr="006E0AFE">
        <w:tab/>
      </w:r>
      <w:r w:rsidRPr="006E0AFE">
        <w:tab/>
      </w:r>
      <w:r w:rsidRPr="006E0AFE">
        <w:tab/>
      </w:r>
      <w:r w:rsidRPr="006E0AFE">
        <w:tab/>
      </w:r>
      <w:r w:rsidRPr="006E0AFE">
        <w:tab/>
        <w:t xml:space="preserve">        Mario Ćiković </w:t>
      </w:r>
      <w:r w:rsidRPr="006E0AFE">
        <w:tab/>
      </w:r>
      <w:r w:rsidRPr="006E0AFE">
        <w:tab/>
      </w:r>
      <w:r w:rsidRPr="006E0AFE">
        <w:tab/>
      </w:r>
    </w:p>
    <w:p w14:paraId="150A1F08" w14:textId="77777777" w:rsidR="00FB754F" w:rsidRPr="006E0AFE" w:rsidRDefault="005E5FFD">
      <w:r w:rsidRPr="006E0AFE">
        <w:tab/>
      </w:r>
    </w:p>
    <w:sectPr w:rsidR="00FB754F" w:rsidRPr="006E0AFE" w:rsidSect="009C21CA">
      <w:footerReference w:type="default" r:id="rId14"/>
      <w:pgSz w:w="11906" w:h="16838"/>
      <w:pgMar w:top="1134" w:right="851"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B1D51" w14:textId="77777777" w:rsidR="005C7E30" w:rsidRDefault="005C7E30" w:rsidP="00052A0C">
      <w:r>
        <w:separator/>
      </w:r>
    </w:p>
  </w:endnote>
  <w:endnote w:type="continuationSeparator" w:id="0">
    <w:p w14:paraId="28AC1C47" w14:textId="77777777" w:rsidR="005C7E30" w:rsidRDefault="005C7E30" w:rsidP="0005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014C" w14:textId="77777777" w:rsidR="002A1EDD" w:rsidRDefault="002A1EDD">
    <w:pPr>
      <w:pStyle w:val="Podnoje"/>
      <w:jc w:val="right"/>
    </w:pPr>
    <w:r>
      <w:fldChar w:fldCharType="begin"/>
    </w:r>
    <w:r>
      <w:instrText>PAGE   \* MERGEFORMAT</w:instrText>
    </w:r>
    <w:r>
      <w:fldChar w:fldCharType="separate"/>
    </w:r>
    <w:r>
      <w:rPr>
        <w:noProof/>
      </w:rPr>
      <w:t>21</w:t>
    </w:r>
    <w:r>
      <w:fldChar w:fldCharType="end"/>
    </w:r>
  </w:p>
  <w:p w14:paraId="3AE9A77D" w14:textId="77777777" w:rsidR="002A1EDD" w:rsidRDefault="002A1ED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43FD1" w14:textId="77777777" w:rsidR="005C7E30" w:rsidRDefault="005C7E30" w:rsidP="00052A0C">
      <w:r>
        <w:separator/>
      </w:r>
    </w:p>
  </w:footnote>
  <w:footnote w:type="continuationSeparator" w:id="0">
    <w:p w14:paraId="356D4C0D" w14:textId="77777777" w:rsidR="005C7E30" w:rsidRDefault="005C7E30" w:rsidP="0005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7D1"/>
    <w:multiLevelType w:val="hybridMultilevel"/>
    <w:tmpl w:val="D7F0AB28"/>
    <w:lvl w:ilvl="0" w:tplc="0809000F">
      <w:start w:val="1"/>
      <w:numFmt w:val="decimal"/>
      <w:lvlText w:val="%1."/>
      <w:lvlJc w:val="left"/>
      <w:pPr>
        <w:ind w:left="3338" w:hanging="360"/>
      </w:pPr>
      <w:rPr>
        <w:rFonts w:hint="default"/>
      </w:rPr>
    </w:lvl>
    <w:lvl w:ilvl="1" w:tplc="08090019">
      <w:start w:val="1"/>
      <w:numFmt w:val="lowerLetter"/>
      <w:lvlText w:val="%2."/>
      <w:lvlJc w:val="left"/>
      <w:pPr>
        <w:ind w:left="4058" w:hanging="360"/>
      </w:pPr>
    </w:lvl>
    <w:lvl w:ilvl="2" w:tplc="0809001B">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1" w15:restartNumberingAfterBreak="0">
    <w:nsid w:val="05721358"/>
    <w:multiLevelType w:val="hybridMultilevel"/>
    <w:tmpl w:val="6CEC0EAC"/>
    <w:lvl w:ilvl="0" w:tplc="4FE6A25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5A7F54"/>
    <w:multiLevelType w:val="hybridMultilevel"/>
    <w:tmpl w:val="F02438D4"/>
    <w:lvl w:ilvl="0" w:tplc="F66068C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4395E"/>
    <w:multiLevelType w:val="hybridMultilevel"/>
    <w:tmpl w:val="169CC450"/>
    <w:lvl w:ilvl="0" w:tplc="50763A9E">
      <w:start w:val="1"/>
      <w:numFmt w:val="bullet"/>
      <w:lvlText w:val="-"/>
      <w:lvlJc w:val="left"/>
      <w:pPr>
        <w:ind w:left="6360" w:hanging="360"/>
      </w:pPr>
      <w:rPr>
        <w:rFonts w:ascii="Times New Roman" w:eastAsia="Times New Roman" w:hAnsi="Times New Roman" w:cs="Times New Roman" w:hint="default"/>
      </w:rPr>
    </w:lvl>
    <w:lvl w:ilvl="1" w:tplc="08090003" w:tentative="1">
      <w:start w:val="1"/>
      <w:numFmt w:val="bullet"/>
      <w:lvlText w:val="o"/>
      <w:lvlJc w:val="left"/>
      <w:pPr>
        <w:ind w:left="7080" w:hanging="360"/>
      </w:pPr>
      <w:rPr>
        <w:rFonts w:ascii="Courier New" w:hAnsi="Courier New" w:cs="Courier New" w:hint="default"/>
      </w:rPr>
    </w:lvl>
    <w:lvl w:ilvl="2" w:tplc="08090005" w:tentative="1">
      <w:start w:val="1"/>
      <w:numFmt w:val="bullet"/>
      <w:lvlText w:val=""/>
      <w:lvlJc w:val="left"/>
      <w:pPr>
        <w:ind w:left="7800" w:hanging="360"/>
      </w:pPr>
      <w:rPr>
        <w:rFonts w:ascii="Wingdings" w:hAnsi="Wingdings" w:hint="default"/>
      </w:rPr>
    </w:lvl>
    <w:lvl w:ilvl="3" w:tplc="08090001" w:tentative="1">
      <w:start w:val="1"/>
      <w:numFmt w:val="bullet"/>
      <w:lvlText w:val=""/>
      <w:lvlJc w:val="left"/>
      <w:pPr>
        <w:ind w:left="8520" w:hanging="360"/>
      </w:pPr>
      <w:rPr>
        <w:rFonts w:ascii="Symbol" w:hAnsi="Symbol" w:hint="default"/>
      </w:rPr>
    </w:lvl>
    <w:lvl w:ilvl="4" w:tplc="08090003" w:tentative="1">
      <w:start w:val="1"/>
      <w:numFmt w:val="bullet"/>
      <w:lvlText w:val="o"/>
      <w:lvlJc w:val="left"/>
      <w:pPr>
        <w:ind w:left="9240" w:hanging="360"/>
      </w:pPr>
      <w:rPr>
        <w:rFonts w:ascii="Courier New" w:hAnsi="Courier New" w:cs="Courier New" w:hint="default"/>
      </w:rPr>
    </w:lvl>
    <w:lvl w:ilvl="5" w:tplc="08090005" w:tentative="1">
      <w:start w:val="1"/>
      <w:numFmt w:val="bullet"/>
      <w:lvlText w:val=""/>
      <w:lvlJc w:val="left"/>
      <w:pPr>
        <w:ind w:left="9960" w:hanging="360"/>
      </w:pPr>
      <w:rPr>
        <w:rFonts w:ascii="Wingdings" w:hAnsi="Wingdings" w:hint="default"/>
      </w:rPr>
    </w:lvl>
    <w:lvl w:ilvl="6" w:tplc="08090001" w:tentative="1">
      <w:start w:val="1"/>
      <w:numFmt w:val="bullet"/>
      <w:lvlText w:val=""/>
      <w:lvlJc w:val="left"/>
      <w:pPr>
        <w:ind w:left="10680" w:hanging="360"/>
      </w:pPr>
      <w:rPr>
        <w:rFonts w:ascii="Symbol" w:hAnsi="Symbol" w:hint="default"/>
      </w:rPr>
    </w:lvl>
    <w:lvl w:ilvl="7" w:tplc="08090003" w:tentative="1">
      <w:start w:val="1"/>
      <w:numFmt w:val="bullet"/>
      <w:lvlText w:val="o"/>
      <w:lvlJc w:val="left"/>
      <w:pPr>
        <w:ind w:left="11400" w:hanging="360"/>
      </w:pPr>
      <w:rPr>
        <w:rFonts w:ascii="Courier New" w:hAnsi="Courier New" w:cs="Courier New" w:hint="default"/>
      </w:rPr>
    </w:lvl>
    <w:lvl w:ilvl="8" w:tplc="08090005" w:tentative="1">
      <w:start w:val="1"/>
      <w:numFmt w:val="bullet"/>
      <w:lvlText w:val=""/>
      <w:lvlJc w:val="left"/>
      <w:pPr>
        <w:ind w:left="12120" w:hanging="360"/>
      </w:pPr>
      <w:rPr>
        <w:rFonts w:ascii="Wingdings" w:hAnsi="Wingdings" w:hint="default"/>
      </w:rPr>
    </w:lvl>
  </w:abstractNum>
  <w:abstractNum w:abstractNumId="4" w15:restartNumberingAfterBreak="0">
    <w:nsid w:val="10D31002"/>
    <w:multiLevelType w:val="multilevel"/>
    <w:tmpl w:val="3D565AB2"/>
    <w:lvl w:ilvl="0">
      <w:start w:val="1"/>
      <w:numFmt w:val="decimal"/>
      <w:lvlText w:val="%1."/>
      <w:lvlJc w:val="left"/>
      <w:pPr>
        <w:ind w:left="644" w:hanging="360"/>
      </w:pPr>
      <w:rPr>
        <w:rFonts w:hint="default"/>
        <w:b/>
      </w:rPr>
    </w:lvl>
    <w:lvl w:ilvl="1">
      <w:start w:val="9"/>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5" w15:restartNumberingAfterBreak="0">
    <w:nsid w:val="19E81221"/>
    <w:multiLevelType w:val="hybridMultilevel"/>
    <w:tmpl w:val="8D9E7666"/>
    <w:lvl w:ilvl="0" w:tplc="4FE6A25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A47587"/>
    <w:multiLevelType w:val="hybridMultilevel"/>
    <w:tmpl w:val="2FBCC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27376"/>
    <w:multiLevelType w:val="multilevel"/>
    <w:tmpl w:val="3D565AB2"/>
    <w:lvl w:ilvl="0">
      <w:start w:val="1"/>
      <w:numFmt w:val="decimal"/>
      <w:lvlText w:val="%1."/>
      <w:lvlJc w:val="left"/>
      <w:pPr>
        <w:ind w:left="644" w:hanging="360"/>
      </w:pPr>
      <w:rPr>
        <w:rFonts w:hint="default"/>
        <w:b/>
      </w:rPr>
    </w:lvl>
    <w:lvl w:ilvl="1">
      <w:start w:val="9"/>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8" w15:restartNumberingAfterBreak="0">
    <w:nsid w:val="261D63C6"/>
    <w:multiLevelType w:val="hybridMultilevel"/>
    <w:tmpl w:val="0F5A4886"/>
    <w:lvl w:ilvl="0" w:tplc="69E03770">
      <w:start w:val="1"/>
      <w:numFmt w:val="decimal"/>
      <w:lvlText w:val="%1."/>
      <w:lvlJc w:val="left"/>
      <w:pPr>
        <w:ind w:left="720" w:hanging="36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B27820"/>
    <w:multiLevelType w:val="hybridMultilevel"/>
    <w:tmpl w:val="C7E656C6"/>
    <w:lvl w:ilvl="0" w:tplc="16F2963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BA4900"/>
    <w:multiLevelType w:val="hybridMultilevel"/>
    <w:tmpl w:val="E8500962"/>
    <w:lvl w:ilvl="0" w:tplc="DCB47F1C">
      <w:numFmt w:val="bullet"/>
      <w:lvlText w:val="-"/>
      <w:lvlJc w:val="left"/>
      <w:pPr>
        <w:tabs>
          <w:tab w:val="num" w:pos="5400"/>
        </w:tabs>
        <w:ind w:left="5400" w:hanging="360"/>
      </w:pPr>
      <w:rPr>
        <w:rFonts w:ascii="Times New Roman" w:eastAsia="Times New Roman" w:hAnsi="Times New Roman" w:hint="default"/>
      </w:rPr>
    </w:lvl>
    <w:lvl w:ilvl="1" w:tplc="041A0003">
      <w:start w:val="1"/>
      <w:numFmt w:val="bullet"/>
      <w:lvlText w:val="o"/>
      <w:lvlJc w:val="left"/>
      <w:pPr>
        <w:tabs>
          <w:tab w:val="num" w:pos="6120"/>
        </w:tabs>
        <w:ind w:left="6120" w:hanging="360"/>
      </w:pPr>
      <w:rPr>
        <w:rFonts w:ascii="Courier New" w:hAnsi="Courier New" w:cs="Courier New" w:hint="default"/>
      </w:rPr>
    </w:lvl>
    <w:lvl w:ilvl="2" w:tplc="041A0005" w:tentative="1">
      <w:start w:val="1"/>
      <w:numFmt w:val="bullet"/>
      <w:lvlText w:val=""/>
      <w:lvlJc w:val="left"/>
      <w:pPr>
        <w:tabs>
          <w:tab w:val="num" w:pos="6840"/>
        </w:tabs>
        <w:ind w:left="6840" w:hanging="360"/>
      </w:pPr>
      <w:rPr>
        <w:rFonts w:ascii="Wingdings" w:hAnsi="Wingdings" w:cs="Wingdings" w:hint="default"/>
      </w:rPr>
    </w:lvl>
    <w:lvl w:ilvl="3" w:tplc="041A0001" w:tentative="1">
      <w:start w:val="1"/>
      <w:numFmt w:val="bullet"/>
      <w:lvlText w:val=""/>
      <w:lvlJc w:val="left"/>
      <w:pPr>
        <w:tabs>
          <w:tab w:val="num" w:pos="7560"/>
        </w:tabs>
        <w:ind w:left="7560" w:hanging="360"/>
      </w:pPr>
      <w:rPr>
        <w:rFonts w:ascii="Symbol" w:hAnsi="Symbol" w:cs="Symbol" w:hint="default"/>
      </w:rPr>
    </w:lvl>
    <w:lvl w:ilvl="4" w:tplc="041A0003" w:tentative="1">
      <w:start w:val="1"/>
      <w:numFmt w:val="bullet"/>
      <w:lvlText w:val="o"/>
      <w:lvlJc w:val="left"/>
      <w:pPr>
        <w:tabs>
          <w:tab w:val="num" w:pos="8280"/>
        </w:tabs>
        <w:ind w:left="8280" w:hanging="360"/>
      </w:pPr>
      <w:rPr>
        <w:rFonts w:ascii="Courier New" w:hAnsi="Courier New" w:cs="Courier New" w:hint="default"/>
      </w:rPr>
    </w:lvl>
    <w:lvl w:ilvl="5" w:tplc="041A0005" w:tentative="1">
      <w:start w:val="1"/>
      <w:numFmt w:val="bullet"/>
      <w:lvlText w:val=""/>
      <w:lvlJc w:val="left"/>
      <w:pPr>
        <w:tabs>
          <w:tab w:val="num" w:pos="9000"/>
        </w:tabs>
        <w:ind w:left="9000" w:hanging="360"/>
      </w:pPr>
      <w:rPr>
        <w:rFonts w:ascii="Wingdings" w:hAnsi="Wingdings" w:cs="Wingdings" w:hint="default"/>
      </w:rPr>
    </w:lvl>
    <w:lvl w:ilvl="6" w:tplc="041A0001" w:tentative="1">
      <w:start w:val="1"/>
      <w:numFmt w:val="bullet"/>
      <w:lvlText w:val=""/>
      <w:lvlJc w:val="left"/>
      <w:pPr>
        <w:tabs>
          <w:tab w:val="num" w:pos="9720"/>
        </w:tabs>
        <w:ind w:left="9720" w:hanging="360"/>
      </w:pPr>
      <w:rPr>
        <w:rFonts w:ascii="Symbol" w:hAnsi="Symbol" w:cs="Symbol" w:hint="default"/>
      </w:rPr>
    </w:lvl>
    <w:lvl w:ilvl="7" w:tplc="041A0003" w:tentative="1">
      <w:start w:val="1"/>
      <w:numFmt w:val="bullet"/>
      <w:lvlText w:val="o"/>
      <w:lvlJc w:val="left"/>
      <w:pPr>
        <w:tabs>
          <w:tab w:val="num" w:pos="10440"/>
        </w:tabs>
        <w:ind w:left="10440" w:hanging="360"/>
      </w:pPr>
      <w:rPr>
        <w:rFonts w:ascii="Courier New" w:hAnsi="Courier New" w:cs="Courier New" w:hint="default"/>
      </w:rPr>
    </w:lvl>
    <w:lvl w:ilvl="8" w:tplc="041A0005" w:tentative="1">
      <w:start w:val="1"/>
      <w:numFmt w:val="bullet"/>
      <w:lvlText w:val=""/>
      <w:lvlJc w:val="left"/>
      <w:pPr>
        <w:tabs>
          <w:tab w:val="num" w:pos="11160"/>
        </w:tabs>
        <w:ind w:left="11160" w:hanging="360"/>
      </w:pPr>
      <w:rPr>
        <w:rFonts w:ascii="Wingdings" w:hAnsi="Wingdings" w:cs="Wingdings" w:hint="default"/>
      </w:rPr>
    </w:lvl>
  </w:abstractNum>
  <w:abstractNum w:abstractNumId="11" w15:restartNumberingAfterBreak="0">
    <w:nsid w:val="39AA7F8E"/>
    <w:multiLevelType w:val="hybridMultilevel"/>
    <w:tmpl w:val="19565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41650F"/>
    <w:multiLevelType w:val="multilevel"/>
    <w:tmpl w:val="3D565AB2"/>
    <w:lvl w:ilvl="0">
      <w:start w:val="1"/>
      <w:numFmt w:val="decimal"/>
      <w:lvlText w:val="%1."/>
      <w:lvlJc w:val="left"/>
      <w:pPr>
        <w:ind w:left="644" w:hanging="360"/>
      </w:pPr>
      <w:rPr>
        <w:rFonts w:hint="default"/>
        <w:b/>
      </w:rPr>
    </w:lvl>
    <w:lvl w:ilvl="1">
      <w:start w:val="9"/>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3" w15:restartNumberingAfterBreak="0">
    <w:nsid w:val="40F70674"/>
    <w:multiLevelType w:val="hybridMultilevel"/>
    <w:tmpl w:val="2FBCC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712DF1"/>
    <w:multiLevelType w:val="hybridMultilevel"/>
    <w:tmpl w:val="1F72C120"/>
    <w:lvl w:ilvl="0" w:tplc="C92AC58C">
      <w:start w:val="3"/>
      <w:numFmt w:val="decimal"/>
      <w:lvlText w:val="%1."/>
      <w:lvlJc w:val="left"/>
      <w:pPr>
        <w:ind w:left="644" w:hanging="360"/>
      </w:pPr>
      <w:rPr>
        <w:rFonts w:hint="default"/>
        <w:b/>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85231C0"/>
    <w:multiLevelType w:val="hybridMultilevel"/>
    <w:tmpl w:val="8E304C04"/>
    <w:lvl w:ilvl="0" w:tplc="D7D4A11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1172DC"/>
    <w:multiLevelType w:val="hybridMultilevel"/>
    <w:tmpl w:val="8ABCF5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24204C"/>
    <w:multiLevelType w:val="hybridMultilevel"/>
    <w:tmpl w:val="67DCCC7A"/>
    <w:lvl w:ilvl="0" w:tplc="4FE6A25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6457D5"/>
    <w:multiLevelType w:val="multilevel"/>
    <w:tmpl w:val="B4BC36A2"/>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7EF67386"/>
    <w:multiLevelType w:val="singleLevel"/>
    <w:tmpl w:val="13586B36"/>
    <w:lvl w:ilvl="0">
      <w:start w:val="1"/>
      <w:numFmt w:val="bullet"/>
      <w:pStyle w:val="StyleBulet1nivo10pt"/>
      <w:lvlText w:val=""/>
      <w:lvlJc w:val="left"/>
      <w:pPr>
        <w:tabs>
          <w:tab w:val="num" w:pos="360"/>
        </w:tabs>
        <w:ind w:left="360" w:hanging="360"/>
      </w:pPr>
      <w:rPr>
        <w:rFonts w:ascii="Symbol" w:hAnsi="Symbol" w:hint="default"/>
        <w:color w:val="0000FF"/>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9"/>
  </w:num>
  <w:num w:numId="3">
    <w:abstractNumId w:val="18"/>
  </w:num>
  <w:num w:numId="4">
    <w:abstractNumId w:val="17"/>
  </w:num>
  <w:num w:numId="5">
    <w:abstractNumId w:val="10"/>
  </w:num>
  <w:num w:numId="6">
    <w:abstractNumId w:val="2"/>
  </w:num>
  <w:num w:numId="7">
    <w:abstractNumId w:val="0"/>
  </w:num>
  <w:num w:numId="8">
    <w:abstractNumId w:val="4"/>
  </w:num>
  <w:num w:numId="9">
    <w:abstractNumId w:val="14"/>
  </w:num>
  <w:num w:numId="10">
    <w:abstractNumId w:val="9"/>
  </w:num>
  <w:num w:numId="11">
    <w:abstractNumId w:val="3"/>
  </w:num>
  <w:num w:numId="12">
    <w:abstractNumId w:val="13"/>
  </w:num>
  <w:num w:numId="13">
    <w:abstractNumId w:val="1"/>
  </w:num>
  <w:num w:numId="14">
    <w:abstractNumId w:val="6"/>
  </w:num>
  <w:num w:numId="15">
    <w:abstractNumId w:val="5"/>
  </w:num>
  <w:num w:numId="16">
    <w:abstractNumId w:val="7"/>
  </w:num>
  <w:num w:numId="17">
    <w:abstractNumId w:val="15"/>
  </w:num>
  <w:num w:numId="18">
    <w:abstractNumId w:val="11"/>
  </w:num>
  <w:num w:numId="19">
    <w:abstractNumId w:val="16"/>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92"/>
    <w:rsid w:val="00001693"/>
    <w:rsid w:val="000023F4"/>
    <w:rsid w:val="00011401"/>
    <w:rsid w:val="0001233B"/>
    <w:rsid w:val="0004464A"/>
    <w:rsid w:val="00045FE1"/>
    <w:rsid w:val="000477D6"/>
    <w:rsid w:val="00052A0C"/>
    <w:rsid w:val="00053954"/>
    <w:rsid w:val="00053F06"/>
    <w:rsid w:val="00055F66"/>
    <w:rsid w:val="0006232F"/>
    <w:rsid w:val="000748C8"/>
    <w:rsid w:val="00082913"/>
    <w:rsid w:val="000A01E4"/>
    <w:rsid w:val="000A3504"/>
    <w:rsid w:val="000B6F56"/>
    <w:rsid w:val="000D3444"/>
    <w:rsid w:val="000D686C"/>
    <w:rsid w:val="000D68CD"/>
    <w:rsid w:val="000E49F6"/>
    <w:rsid w:val="001007BF"/>
    <w:rsid w:val="00100CD2"/>
    <w:rsid w:val="00101834"/>
    <w:rsid w:val="00104994"/>
    <w:rsid w:val="00113388"/>
    <w:rsid w:val="00135065"/>
    <w:rsid w:val="0013739A"/>
    <w:rsid w:val="00153C63"/>
    <w:rsid w:val="00167EF1"/>
    <w:rsid w:val="0017059F"/>
    <w:rsid w:val="00171B4A"/>
    <w:rsid w:val="001750E1"/>
    <w:rsid w:val="0018110D"/>
    <w:rsid w:val="00186478"/>
    <w:rsid w:val="001A322D"/>
    <w:rsid w:val="001A323D"/>
    <w:rsid w:val="001B039E"/>
    <w:rsid w:val="001B2F04"/>
    <w:rsid w:val="001B35E7"/>
    <w:rsid w:val="001B763A"/>
    <w:rsid w:val="001C3E18"/>
    <w:rsid w:val="001D0388"/>
    <w:rsid w:val="001F6BE1"/>
    <w:rsid w:val="00210339"/>
    <w:rsid w:val="002148F4"/>
    <w:rsid w:val="0022593E"/>
    <w:rsid w:val="0022748F"/>
    <w:rsid w:val="0023653B"/>
    <w:rsid w:val="002379FC"/>
    <w:rsid w:val="00244ADB"/>
    <w:rsid w:val="00244C0E"/>
    <w:rsid w:val="00247BD0"/>
    <w:rsid w:val="00253204"/>
    <w:rsid w:val="00256520"/>
    <w:rsid w:val="0025676E"/>
    <w:rsid w:val="002631AC"/>
    <w:rsid w:val="002731F0"/>
    <w:rsid w:val="002763B0"/>
    <w:rsid w:val="00290391"/>
    <w:rsid w:val="002905B5"/>
    <w:rsid w:val="00297892"/>
    <w:rsid w:val="002A1EDD"/>
    <w:rsid w:val="002B2579"/>
    <w:rsid w:val="002C5960"/>
    <w:rsid w:val="002C5CE5"/>
    <w:rsid w:val="002C6855"/>
    <w:rsid w:val="002D1A7B"/>
    <w:rsid w:val="002F17A6"/>
    <w:rsid w:val="00303EBB"/>
    <w:rsid w:val="00303FD2"/>
    <w:rsid w:val="00305FFD"/>
    <w:rsid w:val="00316AA6"/>
    <w:rsid w:val="00323C7B"/>
    <w:rsid w:val="003258C7"/>
    <w:rsid w:val="00334430"/>
    <w:rsid w:val="00334CC2"/>
    <w:rsid w:val="00335946"/>
    <w:rsid w:val="00344DC3"/>
    <w:rsid w:val="00347792"/>
    <w:rsid w:val="003513D3"/>
    <w:rsid w:val="003604FA"/>
    <w:rsid w:val="0036787D"/>
    <w:rsid w:val="00376832"/>
    <w:rsid w:val="00380355"/>
    <w:rsid w:val="00386842"/>
    <w:rsid w:val="00393705"/>
    <w:rsid w:val="00394780"/>
    <w:rsid w:val="003A5C7E"/>
    <w:rsid w:val="003C150F"/>
    <w:rsid w:val="003C2EE4"/>
    <w:rsid w:val="003C525D"/>
    <w:rsid w:val="003D47E6"/>
    <w:rsid w:val="003E274F"/>
    <w:rsid w:val="003F1F28"/>
    <w:rsid w:val="003F310F"/>
    <w:rsid w:val="003F41D3"/>
    <w:rsid w:val="003F4AF8"/>
    <w:rsid w:val="003F5D69"/>
    <w:rsid w:val="00401701"/>
    <w:rsid w:val="00420B1C"/>
    <w:rsid w:val="004330BF"/>
    <w:rsid w:val="00446570"/>
    <w:rsid w:val="00446E9B"/>
    <w:rsid w:val="0045274F"/>
    <w:rsid w:val="00466519"/>
    <w:rsid w:val="00471DAE"/>
    <w:rsid w:val="00474F55"/>
    <w:rsid w:val="0047599D"/>
    <w:rsid w:val="004940D1"/>
    <w:rsid w:val="004945E1"/>
    <w:rsid w:val="00497292"/>
    <w:rsid w:val="004A0E5A"/>
    <w:rsid w:val="004A540A"/>
    <w:rsid w:val="004A548D"/>
    <w:rsid w:val="004A6BF3"/>
    <w:rsid w:val="004A6E96"/>
    <w:rsid w:val="004B3F7B"/>
    <w:rsid w:val="004B5177"/>
    <w:rsid w:val="004C091C"/>
    <w:rsid w:val="004C7BEC"/>
    <w:rsid w:val="004D6277"/>
    <w:rsid w:val="004E3BB1"/>
    <w:rsid w:val="004E572F"/>
    <w:rsid w:val="004F21D5"/>
    <w:rsid w:val="004F7D7B"/>
    <w:rsid w:val="005036DC"/>
    <w:rsid w:val="00503E30"/>
    <w:rsid w:val="00504605"/>
    <w:rsid w:val="005315CD"/>
    <w:rsid w:val="00533EDC"/>
    <w:rsid w:val="00536FDC"/>
    <w:rsid w:val="00576662"/>
    <w:rsid w:val="00576A79"/>
    <w:rsid w:val="00580F50"/>
    <w:rsid w:val="00582CF4"/>
    <w:rsid w:val="005871B6"/>
    <w:rsid w:val="00592690"/>
    <w:rsid w:val="00597BB2"/>
    <w:rsid w:val="005A4BD3"/>
    <w:rsid w:val="005A7587"/>
    <w:rsid w:val="005B2DC6"/>
    <w:rsid w:val="005B3716"/>
    <w:rsid w:val="005C1684"/>
    <w:rsid w:val="005C4D88"/>
    <w:rsid w:val="005C5090"/>
    <w:rsid w:val="005C7E30"/>
    <w:rsid w:val="005D256E"/>
    <w:rsid w:val="005D2609"/>
    <w:rsid w:val="005D2E47"/>
    <w:rsid w:val="005E5FFD"/>
    <w:rsid w:val="00602199"/>
    <w:rsid w:val="00612A9B"/>
    <w:rsid w:val="006147AD"/>
    <w:rsid w:val="00616C25"/>
    <w:rsid w:val="00621203"/>
    <w:rsid w:val="00623BA4"/>
    <w:rsid w:val="006274FD"/>
    <w:rsid w:val="00627ABA"/>
    <w:rsid w:val="00631D67"/>
    <w:rsid w:val="0064010F"/>
    <w:rsid w:val="00647892"/>
    <w:rsid w:val="00653B53"/>
    <w:rsid w:val="00657144"/>
    <w:rsid w:val="00664B99"/>
    <w:rsid w:val="00666F14"/>
    <w:rsid w:val="00672050"/>
    <w:rsid w:val="00672B4A"/>
    <w:rsid w:val="00675A81"/>
    <w:rsid w:val="006818CA"/>
    <w:rsid w:val="00692BAA"/>
    <w:rsid w:val="006A7D56"/>
    <w:rsid w:val="006B6A1C"/>
    <w:rsid w:val="006C023C"/>
    <w:rsid w:val="006D00A1"/>
    <w:rsid w:val="006E0AFE"/>
    <w:rsid w:val="006F1086"/>
    <w:rsid w:val="00704D2B"/>
    <w:rsid w:val="007071A1"/>
    <w:rsid w:val="00707CBD"/>
    <w:rsid w:val="007114D8"/>
    <w:rsid w:val="00711750"/>
    <w:rsid w:val="00715C6F"/>
    <w:rsid w:val="007249C1"/>
    <w:rsid w:val="00727F1E"/>
    <w:rsid w:val="00732117"/>
    <w:rsid w:val="007326DB"/>
    <w:rsid w:val="007355FC"/>
    <w:rsid w:val="00741133"/>
    <w:rsid w:val="00742D58"/>
    <w:rsid w:val="00757DA0"/>
    <w:rsid w:val="007609A3"/>
    <w:rsid w:val="00761267"/>
    <w:rsid w:val="00762D92"/>
    <w:rsid w:val="007658A8"/>
    <w:rsid w:val="00777D9D"/>
    <w:rsid w:val="00785D5E"/>
    <w:rsid w:val="007A0064"/>
    <w:rsid w:val="007A205D"/>
    <w:rsid w:val="007A2F1E"/>
    <w:rsid w:val="007A34D5"/>
    <w:rsid w:val="007A48B0"/>
    <w:rsid w:val="007C57A8"/>
    <w:rsid w:val="007D3D75"/>
    <w:rsid w:val="007E5555"/>
    <w:rsid w:val="007F19FA"/>
    <w:rsid w:val="00800A92"/>
    <w:rsid w:val="008028ED"/>
    <w:rsid w:val="00810371"/>
    <w:rsid w:val="00811207"/>
    <w:rsid w:val="00813424"/>
    <w:rsid w:val="00813FE5"/>
    <w:rsid w:val="0081529E"/>
    <w:rsid w:val="00826C7B"/>
    <w:rsid w:val="00836163"/>
    <w:rsid w:val="008444F5"/>
    <w:rsid w:val="00845179"/>
    <w:rsid w:val="00845560"/>
    <w:rsid w:val="00845F5B"/>
    <w:rsid w:val="00854F57"/>
    <w:rsid w:val="00857FD7"/>
    <w:rsid w:val="0086744D"/>
    <w:rsid w:val="008703E1"/>
    <w:rsid w:val="00871CBE"/>
    <w:rsid w:val="008756AB"/>
    <w:rsid w:val="008918F7"/>
    <w:rsid w:val="00896009"/>
    <w:rsid w:val="008A3593"/>
    <w:rsid w:val="008A71F9"/>
    <w:rsid w:val="008B4D08"/>
    <w:rsid w:val="008C073D"/>
    <w:rsid w:val="008C0AF2"/>
    <w:rsid w:val="008C7833"/>
    <w:rsid w:val="008D0097"/>
    <w:rsid w:val="008D4D52"/>
    <w:rsid w:val="008E1195"/>
    <w:rsid w:val="008E61C2"/>
    <w:rsid w:val="008F0426"/>
    <w:rsid w:val="008F6132"/>
    <w:rsid w:val="009145C3"/>
    <w:rsid w:val="009178D2"/>
    <w:rsid w:val="00925838"/>
    <w:rsid w:val="00930F4D"/>
    <w:rsid w:val="00953106"/>
    <w:rsid w:val="009544B5"/>
    <w:rsid w:val="009562B4"/>
    <w:rsid w:val="00964C73"/>
    <w:rsid w:val="00975846"/>
    <w:rsid w:val="0097768F"/>
    <w:rsid w:val="009918DC"/>
    <w:rsid w:val="00996A25"/>
    <w:rsid w:val="009B681C"/>
    <w:rsid w:val="009B6D99"/>
    <w:rsid w:val="009C1D27"/>
    <w:rsid w:val="009C21CA"/>
    <w:rsid w:val="009C442A"/>
    <w:rsid w:val="009D5011"/>
    <w:rsid w:val="009E3EA1"/>
    <w:rsid w:val="009F1FA3"/>
    <w:rsid w:val="009F5F8E"/>
    <w:rsid w:val="00A03444"/>
    <w:rsid w:val="00A16509"/>
    <w:rsid w:val="00A236BD"/>
    <w:rsid w:val="00A25269"/>
    <w:rsid w:val="00A2667C"/>
    <w:rsid w:val="00A31DD1"/>
    <w:rsid w:val="00A3469B"/>
    <w:rsid w:val="00A35E6F"/>
    <w:rsid w:val="00A36366"/>
    <w:rsid w:val="00A37067"/>
    <w:rsid w:val="00A45189"/>
    <w:rsid w:val="00A55DCA"/>
    <w:rsid w:val="00A6783C"/>
    <w:rsid w:val="00A7435D"/>
    <w:rsid w:val="00A74A41"/>
    <w:rsid w:val="00A76B83"/>
    <w:rsid w:val="00A77448"/>
    <w:rsid w:val="00A84225"/>
    <w:rsid w:val="00A87267"/>
    <w:rsid w:val="00A96566"/>
    <w:rsid w:val="00AA0C13"/>
    <w:rsid w:val="00AA1D30"/>
    <w:rsid w:val="00AB49F7"/>
    <w:rsid w:val="00AB4C50"/>
    <w:rsid w:val="00AB5931"/>
    <w:rsid w:val="00AD062C"/>
    <w:rsid w:val="00AE4422"/>
    <w:rsid w:val="00B07761"/>
    <w:rsid w:val="00B1415A"/>
    <w:rsid w:val="00B14C68"/>
    <w:rsid w:val="00B16C87"/>
    <w:rsid w:val="00B23671"/>
    <w:rsid w:val="00B3044C"/>
    <w:rsid w:val="00B31A89"/>
    <w:rsid w:val="00B32857"/>
    <w:rsid w:val="00B373D1"/>
    <w:rsid w:val="00B40248"/>
    <w:rsid w:val="00B41664"/>
    <w:rsid w:val="00B47FC9"/>
    <w:rsid w:val="00B57014"/>
    <w:rsid w:val="00B57F27"/>
    <w:rsid w:val="00B62B77"/>
    <w:rsid w:val="00B66C9B"/>
    <w:rsid w:val="00B746E7"/>
    <w:rsid w:val="00B76A7D"/>
    <w:rsid w:val="00B77C69"/>
    <w:rsid w:val="00B77FFB"/>
    <w:rsid w:val="00B94BCF"/>
    <w:rsid w:val="00BA4BC4"/>
    <w:rsid w:val="00BB3A08"/>
    <w:rsid w:val="00BB455F"/>
    <w:rsid w:val="00BB669E"/>
    <w:rsid w:val="00BC28FC"/>
    <w:rsid w:val="00BC2B0F"/>
    <w:rsid w:val="00BC6683"/>
    <w:rsid w:val="00BD206D"/>
    <w:rsid w:val="00BD23E7"/>
    <w:rsid w:val="00BE7AAB"/>
    <w:rsid w:val="00BF3B22"/>
    <w:rsid w:val="00BF5E6B"/>
    <w:rsid w:val="00C00DD2"/>
    <w:rsid w:val="00C03098"/>
    <w:rsid w:val="00C06C3B"/>
    <w:rsid w:val="00C1194D"/>
    <w:rsid w:val="00C16419"/>
    <w:rsid w:val="00C21CF6"/>
    <w:rsid w:val="00C364DB"/>
    <w:rsid w:val="00C4373A"/>
    <w:rsid w:val="00C46B71"/>
    <w:rsid w:val="00C539D8"/>
    <w:rsid w:val="00C556BA"/>
    <w:rsid w:val="00C678C1"/>
    <w:rsid w:val="00C709E5"/>
    <w:rsid w:val="00C90FA6"/>
    <w:rsid w:val="00CA0BD5"/>
    <w:rsid w:val="00CA0D51"/>
    <w:rsid w:val="00CA12B8"/>
    <w:rsid w:val="00CA34F9"/>
    <w:rsid w:val="00CA7FD0"/>
    <w:rsid w:val="00CB2486"/>
    <w:rsid w:val="00CB5211"/>
    <w:rsid w:val="00CC1BBF"/>
    <w:rsid w:val="00CC1DB4"/>
    <w:rsid w:val="00CC3B14"/>
    <w:rsid w:val="00CD5FB2"/>
    <w:rsid w:val="00CD7546"/>
    <w:rsid w:val="00CE7422"/>
    <w:rsid w:val="00CE7D71"/>
    <w:rsid w:val="00CF4F7E"/>
    <w:rsid w:val="00D009C9"/>
    <w:rsid w:val="00D04A51"/>
    <w:rsid w:val="00D0710F"/>
    <w:rsid w:val="00D1003E"/>
    <w:rsid w:val="00D17F71"/>
    <w:rsid w:val="00D23A25"/>
    <w:rsid w:val="00D25846"/>
    <w:rsid w:val="00D25B05"/>
    <w:rsid w:val="00D43C35"/>
    <w:rsid w:val="00D57BF2"/>
    <w:rsid w:val="00D635A3"/>
    <w:rsid w:val="00D6403F"/>
    <w:rsid w:val="00D6729C"/>
    <w:rsid w:val="00D67436"/>
    <w:rsid w:val="00D678AA"/>
    <w:rsid w:val="00D73818"/>
    <w:rsid w:val="00D73BAF"/>
    <w:rsid w:val="00D828F5"/>
    <w:rsid w:val="00D878CC"/>
    <w:rsid w:val="00D94F4C"/>
    <w:rsid w:val="00DA1E69"/>
    <w:rsid w:val="00DA1F27"/>
    <w:rsid w:val="00DC0E8F"/>
    <w:rsid w:val="00DC2F20"/>
    <w:rsid w:val="00DD0D88"/>
    <w:rsid w:val="00DF228A"/>
    <w:rsid w:val="00E011B0"/>
    <w:rsid w:val="00E07235"/>
    <w:rsid w:val="00E178A8"/>
    <w:rsid w:val="00E20A67"/>
    <w:rsid w:val="00E25CF1"/>
    <w:rsid w:val="00E36D7D"/>
    <w:rsid w:val="00E4239A"/>
    <w:rsid w:val="00E46340"/>
    <w:rsid w:val="00E512E0"/>
    <w:rsid w:val="00E53D1F"/>
    <w:rsid w:val="00E543F8"/>
    <w:rsid w:val="00E64B8C"/>
    <w:rsid w:val="00E65080"/>
    <w:rsid w:val="00E6626B"/>
    <w:rsid w:val="00E86700"/>
    <w:rsid w:val="00E93A90"/>
    <w:rsid w:val="00EA31D1"/>
    <w:rsid w:val="00EA4861"/>
    <w:rsid w:val="00EB5215"/>
    <w:rsid w:val="00EC5B69"/>
    <w:rsid w:val="00ED705B"/>
    <w:rsid w:val="00EE1458"/>
    <w:rsid w:val="00EE378A"/>
    <w:rsid w:val="00EF4E77"/>
    <w:rsid w:val="00EF7F4F"/>
    <w:rsid w:val="00F03530"/>
    <w:rsid w:val="00F0460C"/>
    <w:rsid w:val="00F22226"/>
    <w:rsid w:val="00F27599"/>
    <w:rsid w:val="00F36881"/>
    <w:rsid w:val="00F41928"/>
    <w:rsid w:val="00F44229"/>
    <w:rsid w:val="00F44257"/>
    <w:rsid w:val="00F44DF1"/>
    <w:rsid w:val="00F4763D"/>
    <w:rsid w:val="00F567B8"/>
    <w:rsid w:val="00F60829"/>
    <w:rsid w:val="00F67AE0"/>
    <w:rsid w:val="00F754E6"/>
    <w:rsid w:val="00F909F3"/>
    <w:rsid w:val="00F91A17"/>
    <w:rsid w:val="00F95C9C"/>
    <w:rsid w:val="00FA06DF"/>
    <w:rsid w:val="00FB12DB"/>
    <w:rsid w:val="00FB1F57"/>
    <w:rsid w:val="00FB754F"/>
    <w:rsid w:val="00FC624D"/>
    <w:rsid w:val="00FD50A7"/>
    <w:rsid w:val="00FE48E9"/>
    <w:rsid w:val="00FF0924"/>
    <w:rsid w:val="00FF0CDE"/>
    <w:rsid w:val="00FF2E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E5E12"/>
  <w15:docId w15:val="{8F40BE0E-A41A-4948-9662-7364B2DD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Naslov1">
    <w:name w:val="heading 1"/>
    <w:basedOn w:val="Normal"/>
    <w:next w:val="Normal"/>
    <w:link w:val="Naslov1Char"/>
    <w:qFormat/>
    <w:rsid w:val="00A31DD1"/>
    <w:pPr>
      <w:keepNext/>
      <w:jc w:val="both"/>
      <w:outlineLvl w:val="0"/>
    </w:pPr>
    <w:rPr>
      <w:b/>
      <w:sz w:val="20"/>
      <w:szCs w:val="20"/>
      <w:lang w:eastAsia="en-US"/>
    </w:rPr>
  </w:style>
  <w:style w:type="paragraph" w:styleId="Naslov2">
    <w:name w:val="heading 2"/>
    <w:basedOn w:val="Normal"/>
    <w:next w:val="Normal"/>
    <w:link w:val="Naslov2Char"/>
    <w:uiPriority w:val="9"/>
    <w:qFormat/>
    <w:rsid w:val="00AB49F7"/>
    <w:pPr>
      <w:keepNext/>
      <w:outlineLvl w:val="1"/>
    </w:pPr>
    <w:rPr>
      <w:szCs w:val="20"/>
      <w:lang w:val="en-AU" w:eastAsia="en-US"/>
    </w:rPr>
  </w:style>
  <w:style w:type="paragraph" w:styleId="Naslov3">
    <w:name w:val="heading 3"/>
    <w:basedOn w:val="Normal"/>
    <w:next w:val="Normal"/>
    <w:link w:val="Naslov3Char"/>
    <w:uiPriority w:val="9"/>
    <w:qFormat/>
    <w:rsid w:val="00A31DD1"/>
    <w:pPr>
      <w:keepNext/>
      <w:jc w:val="both"/>
      <w:outlineLvl w:val="2"/>
    </w:pPr>
    <w:rPr>
      <w:b/>
      <w:bCs/>
      <w:color w:val="FF0000"/>
      <w:sz w:val="22"/>
      <w:szCs w:val="22"/>
    </w:rPr>
  </w:style>
  <w:style w:type="paragraph" w:styleId="Naslov4">
    <w:name w:val="heading 4"/>
    <w:basedOn w:val="Normal"/>
    <w:next w:val="Normal"/>
    <w:link w:val="Naslov4Char"/>
    <w:qFormat/>
    <w:rsid w:val="00A31DD1"/>
    <w:pPr>
      <w:keepNext/>
      <w:outlineLvl w:val="3"/>
    </w:pPr>
    <w:rPr>
      <w:b/>
      <w:bCs/>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99"/>
    <w:pPr>
      <w:jc w:val="both"/>
    </w:pPr>
    <w:rPr>
      <w:b/>
    </w:rPr>
  </w:style>
  <w:style w:type="paragraph" w:styleId="Tijeloteksta2">
    <w:name w:val="Body Text 2"/>
    <w:basedOn w:val="Normal"/>
    <w:link w:val="Tijeloteksta2Char1"/>
    <w:pPr>
      <w:jc w:val="both"/>
    </w:pPr>
  </w:style>
  <w:style w:type="paragraph" w:styleId="Uvuenotijeloteksta">
    <w:name w:val="Body Text Indent"/>
    <w:basedOn w:val="Normal"/>
    <w:link w:val="UvuenotijelotekstaChar"/>
    <w:semiHidden/>
    <w:pPr>
      <w:ind w:firstLine="720"/>
      <w:jc w:val="both"/>
    </w:pPr>
  </w:style>
  <w:style w:type="paragraph" w:styleId="Zaglavlje">
    <w:name w:val="header"/>
    <w:basedOn w:val="Normal"/>
    <w:link w:val="ZaglavljeChar"/>
    <w:uiPriority w:val="99"/>
    <w:rsid w:val="00167EF1"/>
    <w:pPr>
      <w:tabs>
        <w:tab w:val="center" w:pos="4536"/>
        <w:tab w:val="right" w:pos="9072"/>
      </w:tabs>
    </w:pPr>
    <w:rPr>
      <w:rFonts w:ascii="Arial" w:hAnsi="Arial"/>
      <w:sz w:val="20"/>
    </w:rPr>
  </w:style>
  <w:style w:type="character" w:customStyle="1" w:styleId="ZaglavljeChar">
    <w:name w:val="Zaglavlje Char"/>
    <w:link w:val="Zaglavlje"/>
    <w:uiPriority w:val="99"/>
    <w:rsid w:val="00167EF1"/>
    <w:rPr>
      <w:rFonts w:ascii="Arial" w:hAnsi="Arial"/>
      <w:szCs w:val="24"/>
      <w:lang w:val="hr-HR" w:eastAsia="hr-HR"/>
    </w:rPr>
  </w:style>
  <w:style w:type="paragraph" w:styleId="Tekstbalonia">
    <w:name w:val="Balloon Text"/>
    <w:basedOn w:val="Normal"/>
    <w:link w:val="TekstbaloniaChar"/>
    <w:uiPriority w:val="99"/>
    <w:semiHidden/>
    <w:unhideWhenUsed/>
    <w:rsid w:val="000023F4"/>
    <w:rPr>
      <w:rFonts w:ascii="Tahoma" w:hAnsi="Tahoma"/>
      <w:sz w:val="16"/>
      <w:szCs w:val="16"/>
    </w:rPr>
  </w:style>
  <w:style w:type="character" w:customStyle="1" w:styleId="TekstbaloniaChar">
    <w:name w:val="Tekst balončića Char"/>
    <w:link w:val="Tekstbalonia"/>
    <w:uiPriority w:val="99"/>
    <w:semiHidden/>
    <w:rsid w:val="000023F4"/>
    <w:rPr>
      <w:rFonts w:ascii="Tahoma" w:hAnsi="Tahoma" w:cs="Tahoma"/>
      <w:sz w:val="16"/>
      <w:szCs w:val="16"/>
    </w:rPr>
  </w:style>
  <w:style w:type="character" w:customStyle="1" w:styleId="Naslov2Char">
    <w:name w:val="Naslov 2 Char"/>
    <w:link w:val="Naslov2"/>
    <w:uiPriority w:val="9"/>
    <w:rsid w:val="00AB49F7"/>
    <w:rPr>
      <w:sz w:val="24"/>
      <w:lang w:val="en-AU" w:eastAsia="en-US"/>
    </w:rPr>
  </w:style>
  <w:style w:type="paragraph" w:styleId="Bezproreda">
    <w:name w:val="No Spacing"/>
    <w:uiPriority w:val="1"/>
    <w:qFormat/>
    <w:rsid w:val="00FB754F"/>
    <w:rPr>
      <w:rFonts w:ascii="Calibri" w:eastAsia="Calibri" w:hAnsi="Calibri"/>
      <w:sz w:val="22"/>
      <w:szCs w:val="22"/>
      <w:lang w:eastAsia="en-US"/>
    </w:rPr>
  </w:style>
  <w:style w:type="character" w:customStyle="1" w:styleId="Naslov1Char">
    <w:name w:val="Naslov 1 Char"/>
    <w:link w:val="Naslov1"/>
    <w:rsid w:val="00A31DD1"/>
    <w:rPr>
      <w:b/>
      <w:lang w:eastAsia="en-US"/>
    </w:rPr>
  </w:style>
  <w:style w:type="character" w:customStyle="1" w:styleId="Naslov3Char">
    <w:name w:val="Naslov 3 Char"/>
    <w:link w:val="Naslov3"/>
    <w:uiPriority w:val="9"/>
    <w:rsid w:val="00A31DD1"/>
    <w:rPr>
      <w:b/>
      <w:bCs/>
      <w:color w:val="FF0000"/>
      <w:sz w:val="22"/>
      <w:szCs w:val="22"/>
    </w:rPr>
  </w:style>
  <w:style w:type="character" w:customStyle="1" w:styleId="Naslov4Char">
    <w:name w:val="Naslov 4 Char"/>
    <w:link w:val="Naslov4"/>
    <w:rsid w:val="00A31DD1"/>
    <w:rPr>
      <w:b/>
      <w:bCs/>
      <w:sz w:val="22"/>
      <w:szCs w:val="22"/>
      <w:lang w:eastAsia="en-US"/>
    </w:rPr>
  </w:style>
  <w:style w:type="numbering" w:customStyle="1" w:styleId="Bezpopisa1">
    <w:name w:val="Bez popisa1"/>
    <w:next w:val="Bezpopisa"/>
    <w:uiPriority w:val="99"/>
    <w:semiHidden/>
    <w:unhideWhenUsed/>
    <w:rsid w:val="00A31DD1"/>
  </w:style>
  <w:style w:type="character" w:customStyle="1" w:styleId="Tijeloteksta2Char">
    <w:name w:val="Tijelo teksta 2 Char"/>
    <w:uiPriority w:val="99"/>
    <w:rsid w:val="00A31DD1"/>
    <w:rPr>
      <w:rFonts w:ascii="Arial" w:eastAsia="Times New Roman" w:hAnsi="Arial" w:cs="Times New Roman"/>
      <w:sz w:val="16"/>
      <w:szCs w:val="20"/>
      <w:lang w:val="hr-HR"/>
    </w:rPr>
  </w:style>
  <w:style w:type="paragraph" w:styleId="Tijeloteksta3">
    <w:name w:val="Body Text 3"/>
    <w:basedOn w:val="Normal"/>
    <w:link w:val="Tijeloteksta3Char"/>
    <w:uiPriority w:val="99"/>
    <w:unhideWhenUsed/>
    <w:rsid w:val="00A31DD1"/>
    <w:pPr>
      <w:spacing w:after="120"/>
    </w:pPr>
    <w:rPr>
      <w:sz w:val="16"/>
      <w:szCs w:val="16"/>
      <w:lang w:eastAsia="en-US"/>
    </w:rPr>
  </w:style>
  <w:style w:type="character" w:customStyle="1" w:styleId="Tijeloteksta3Char">
    <w:name w:val="Tijelo teksta 3 Char"/>
    <w:link w:val="Tijeloteksta3"/>
    <w:uiPriority w:val="99"/>
    <w:rsid w:val="00A31DD1"/>
    <w:rPr>
      <w:sz w:val="16"/>
      <w:szCs w:val="16"/>
      <w:lang w:eastAsia="en-US"/>
    </w:rPr>
  </w:style>
  <w:style w:type="character" w:customStyle="1" w:styleId="TijelotekstaChar">
    <w:name w:val="Tijelo teksta Char"/>
    <w:uiPriority w:val="99"/>
    <w:rsid w:val="00A31DD1"/>
    <w:rPr>
      <w:rFonts w:ascii="Times New Roman" w:eastAsia="Times New Roman" w:hAnsi="Times New Roman" w:cs="Times New Roman"/>
      <w:sz w:val="20"/>
      <w:szCs w:val="20"/>
      <w:lang w:val="hr-HR"/>
    </w:rPr>
  </w:style>
  <w:style w:type="paragraph" w:customStyle="1" w:styleId="Bezproreda2">
    <w:name w:val="Bez proreda2"/>
    <w:qFormat/>
    <w:rsid w:val="00A31DD1"/>
    <w:rPr>
      <w:rFonts w:ascii="Calibri" w:eastAsia="Calibri" w:hAnsi="Calibri"/>
      <w:sz w:val="22"/>
      <w:szCs w:val="22"/>
      <w:lang w:val="en-US" w:eastAsia="en-US"/>
    </w:rPr>
  </w:style>
  <w:style w:type="character" w:styleId="Istaknuto">
    <w:name w:val="Emphasis"/>
    <w:qFormat/>
    <w:rsid w:val="00A31DD1"/>
    <w:rPr>
      <w:i/>
      <w:iCs/>
    </w:rPr>
  </w:style>
  <w:style w:type="paragraph" w:customStyle="1" w:styleId="Odlomakpopisa2">
    <w:name w:val="Odlomak popisa2"/>
    <w:basedOn w:val="Normal"/>
    <w:qFormat/>
    <w:rsid w:val="00A31DD1"/>
    <w:pPr>
      <w:spacing w:after="200" w:line="276" w:lineRule="auto"/>
      <w:ind w:left="720"/>
    </w:pPr>
    <w:rPr>
      <w:rFonts w:ascii="Calibri" w:eastAsia="Calibri" w:hAnsi="Calibri"/>
      <w:sz w:val="22"/>
      <w:szCs w:val="22"/>
    </w:rPr>
  </w:style>
  <w:style w:type="character" w:styleId="Naglaeno">
    <w:name w:val="Strong"/>
    <w:uiPriority w:val="22"/>
    <w:qFormat/>
    <w:rsid w:val="00A31DD1"/>
    <w:rPr>
      <w:b/>
      <w:bCs/>
    </w:rPr>
  </w:style>
  <w:style w:type="paragraph" w:customStyle="1" w:styleId="T-98-2">
    <w:name w:val="T-9/8-2"/>
    <w:rsid w:val="00A31DD1"/>
    <w:pPr>
      <w:widowControl w:val="0"/>
      <w:tabs>
        <w:tab w:val="left" w:pos="2153"/>
      </w:tabs>
      <w:autoSpaceDE w:val="0"/>
      <w:autoSpaceDN w:val="0"/>
      <w:adjustRightInd w:val="0"/>
      <w:spacing w:after="43"/>
      <w:ind w:firstLine="342"/>
      <w:jc w:val="both"/>
    </w:pPr>
    <w:rPr>
      <w:rFonts w:ascii="Times-NewRoman" w:eastAsia="Calibri" w:hAnsi="Times-NewRoman" w:cs="Times-NewRoman"/>
      <w:sz w:val="19"/>
      <w:szCs w:val="19"/>
      <w:lang w:val="en-US" w:eastAsia="en-US"/>
    </w:rPr>
  </w:style>
  <w:style w:type="paragraph" w:styleId="Podnoje">
    <w:name w:val="footer"/>
    <w:basedOn w:val="Normal"/>
    <w:link w:val="PodnojeChar1"/>
    <w:uiPriority w:val="99"/>
    <w:unhideWhenUsed/>
    <w:rsid w:val="00A31DD1"/>
    <w:pPr>
      <w:tabs>
        <w:tab w:val="center" w:pos="4703"/>
        <w:tab w:val="right" w:pos="9406"/>
      </w:tabs>
    </w:pPr>
    <w:rPr>
      <w:sz w:val="20"/>
      <w:szCs w:val="20"/>
    </w:rPr>
  </w:style>
  <w:style w:type="character" w:customStyle="1" w:styleId="PodnojeChar">
    <w:name w:val="Podnožje Char"/>
    <w:uiPriority w:val="99"/>
    <w:rsid w:val="00A31DD1"/>
    <w:rPr>
      <w:sz w:val="24"/>
      <w:szCs w:val="24"/>
    </w:rPr>
  </w:style>
  <w:style w:type="paragraph" w:styleId="Naslov">
    <w:name w:val="Title"/>
    <w:basedOn w:val="Normal"/>
    <w:link w:val="NaslovChar1"/>
    <w:qFormat/>
    <w:rsid w:val="00A31DD1"/>
    <w:pPr>
      <w:jc w:val="center"/>
    </w:pPr>
    <w:rPr>
      <w:b/>
      <w:sz w:val="20"/>
      <w:szCs w:val="20"/>
    </w:rPr>
  </w:style>
  <w:style w:type="character" w:customStyle="1" w:styleId="NaslovChar">
    <w:name w:val="Naslov Char"/>
    <w:rsid w:val="00A31DD1"/>
    <w:rPr>
      <w:rFonts w:ascii="Calibri Light" w:eastAsia="Times New Roman" w:hAnsi="Calibri Light" w:cs="Times New Roman"/>
      <w:b/>
      <w:bCs/>
      <w:kern w:val="28"/>
      <w:sz w:val="32"/>
      <w:szCs w:val="32"/>
    </w:rPr>
  </w:style>
  <w:style w:type="character" w:customStyle="1" w:styleId="Heading1Char">
    <w:name w:val="Heading 1 Char"/>
    <w:rsid w:val="00A31DD1"/>
    <w:rPr>
      <w:rFonts w:ascii="Times New Roman" w:eastAsia="Times New Roman" w:hAnsi="Times New Roman" w:cs="Times New Roman"/>
      <w:b/>
      <w:sz w:val="20"/>
      <w:szCs w:val="20"/>
      <w:lang w:val="hr-HR"/>
    </w:rPr>
  </w:style>
  <w:style w:type="character" w:customStyle="1" w:styleId="BodyText2Char">
    <w:name w:val="Body Text 2 Char"/>
    <w:uiPriority w:val="99"/>
    <w:rsid w:val="00A31DD1"/>
    <w:rPr>
      <w:rFonts w:ascii="Arial" w:eastAsia="Times New Roman" w:hAnsi="Arial" w:cs="Times New Roman"/>
      <w:sz w:val="16"/>
      <w:szCs w:val="20"/>
      <w:lang w:val="en-AU"/>
    </w:rPr>
  </w:style>
  <w:style w:type="character" w:customStyle="1" w:styleId="BodyText3Char">
    <w:name w:val="Body Text 3 Char"/>
    <w:uiPriority w:val="99"/>
    <w:rsid w:val="00A31DD1"/>
    <w:rPr>
      <w:rFonts w:ascii="Times New Roman" w:eastAsia="Times New Roman" w:hAnsi="Times New Roman" w:cs="Times New Roman"/>
      <w:sz w:val="16"/>
      <w:szCs w:val="16"/>
      <w:lang w:val="en-AU"/>
    </w:rPr>
  </w:style>
  <w:style w:type="character" w:customStyle="1" w:styleId="Heading2Char">
    <w:name w:val="Heading 2 Char"/>
    <w:uiPriority w:val="9"/>
    <w:rsid w:val="00A31DD1"/>
    <w:rPr>
      <w:rFonts w:ascii="Cambria" w:eastAsia="Times New Roman" w:hAnsi="Cambria" w:cs="Times New Roman"/>
      <w:b/>
      <w:bCs/>
      <w:color w:val="4F81BD"/>
      <w:sz w:val="26"/>
      <w:szCs w:val="26"/>
      <w:lang w:val="en-AU"/>
    </w:rPr>
  </w:style>
  <w:style w:type="character" w:customStyle="1" w:styleId="BodyTextChar">
    <w:name w:val="Body Text Char"/>
    <w:rsid w:val="00A31DD1"/>
    <w:rPr>
      <w:rFonts w:ascii="Times New Roman" w:eastAsia="Times New Roman" w:hAnsi="Times New Roman" w:cs="Times New Roman"/>
      <w:sz w:val="20"/>
      <w:szCs w:val="20"/>
      <w:lang w:val="en-AU"/>
    </w:rPr>
  </w:style>
  <w:style w:type="paragraph" w:styleId="Odlomakpopisa">
    <w:name w:val="List Paragraph"/>
    <w:basedOn w:val="Normal"/>
    <w:uiPriority w:val="34"/>
    <w:qFormat/>
    <w:rsid w:val="00A31DD1"/>
    <w:pPr>
      <w:ind w:left="720"/>
    </w:pPr>
    <w:rPr>
      <w:sz w:val="20"/>
      <w:szCs w:val="20"/>
      <w:lang w:eastAsia="en-US"/>
    </w:rPr>
  </w:style>
  <w:style w:type="paragraph" w:styleId="StandardWeb">
    <w:name w:val="Normal (Web)"/>
    <w:basedOn w:val="Normal"/>
    <w:uiPriority w:val="99"/>
    <w:rsid w:val="00A31DD1"/>
    <w:pPr>
      <w:spacing w:before="100" w:beforeAutospacing="1" w:after="119"/>
    </w:pPr>
    <w:rPr>
      <w:lang w:val="en-GB" w:eastAsia="en-US"/>
    </w:rPr>
  </w:style>
  <w:style w:type="character" w:customStyle="1" w:styleId="NaslovChar1">
    <w:name w:val="Naslov Char1"/>
    <w:link w:val="Naslov"/>
    <w:rsid w:val="00A31DD1"/>
    <w:rPr>
      <w:b/>
    </w:rPr>
  </w:style>
  <w:style w:type="character" w:customStyle="1" w:styleId="ZaglavljeChar1">
    <w:name w:val="Zaglavlje Char1"/>
    <w:uiPriority w:val="99"/>
    <w:rsid w:val="00A31DD1"/>
    <w:rPr>
      <w:rFonts w:ascii="Times New Roman" w:eastAsia="Times New Roman" w:hAnsi="Times New Roman"/>
      <w:lang w:val="hr-HR"/>
    </w:rPr>
  </w:style>
  <w:style w:type="character" w:customStyle="1" w:styleId="PodnojeChar1">
    <w:name w:val="Podnožje Char1"/>
    <w:link w:val="Podnoje"/>
    <w:uiPriority w:val="99"/>
    <w:rsid w:val="00A31DD1"/>
  </w:style>
  <w:style w:type="paragraph" w:customStyle="1" w:styleId="Bezproreda1">
    <w:name w:val="Bez proreda1"/>
    <w:qFormat/>
    <w:rsid w:val="00A31DD1"/>
    <w:rPr>
      <w:rFonts w:ascii="Calibri" w:eastAsia="Calibri" w:hAnsi="Calibri"/>
      <w:sz w:val="22"/>
      <w:szCs w:val="22"/>
      <w:lang w:val="en-US" w:eastAsia="en-US"/>
    </w:rPr>
  </w:style>
  <w:style w:type="paragraph" w:customStyle="1" w:styleId="Odlomakpopisa1">
    <w:name w:val="Odlomak popisa1"/>
    <w:basedOn w:val="Normal"/>
    <w:qFormat/>
    <w:rsid w:val="00A31DD1"/>
    <w:pPr>
      <w:spacing w:after="200" w:line="276" w:lineRule="auto"/>
      <w:ind w:left="720"/>
    </w:pPr>
    <w:rPr>
      <w:rFonts w:ascii="Calibri" w:eastAsia="Calibri" w:hAnsi="Calibri"/>
      <w:sz w:val="22"/>
      <w:szCs w:val="22"/>
    </w:rPr>
  </w:style>
  <w:style w:type="paragraph" w:customStyle="1" w:styleId="StyleBulet1nivo10pt">
    <w:name w:val="Style Bulet 1 nivo + 10 pt"/>
    <w:basedOn w:val="Normal"/>
    <w:rsid w:val="00A31DD1"/>
    <w:pPr>
      <w:numPr>
        <w:numId w:val="2"/>
      </w:numPr>
      <w:outlineLvl w:val="0"/>
    </w:pPr>
    <w:rPr>
      <w:rFonts w:ascii="Arial" w:hAnsi="Arial"/>
      <w:sz w:val="20"/>
      <w:szCs w:val="20"/>
      <w:lang w:eastAsia="en-US"/>
    </w:rPr>
  </w:style>
  <w:style w:type="character" w:customStyle="1" w:styleId="Tijeloteksta2Char1">
    <w:name w:val="Tijelo teksta 2 Char1"/>
    <w:link w:val="Tijeloteksta2"/>
    <w:rsid w:val="00A31DD1"/>
    <w:rPr>
      <w:sz w:val="24"/>
      <w:szCs w:val="24"/>
    </w:rPr>
  </w:style>
  <w:style w:type="paragraph" w:customStyle="1" w:styleId="Default">
    <w:name w:val="Default"/>
    <w:rsid w:val="00A31DD1"/>
    <w:pPr>
      <w:autoSpaceDE w:val="0"/>
      <w:autoSpaceDN w:val="0"/>
      <w:adjustRightInd w:val="0"/>
    </w:pPr>
    <w:rPr>
      <w:rFonts w:ascii="Calibri" w:eastAsia="Calibri" w:hAnsi="Calibri" w:cs="Calibri"/>
      <w:color w:val="000000"/>
      <w:sz w:val="24"/>
      <w:szCs w:val="24"/>
      <w:lang w:eastAsia="en-US"/>
    </w:rPr>
  </w:style>
  <w:style w:type="character" w:styleId="Referencakomentara">
    <w:name w:val="annotation reference"/>
    <w:uiPriority w:val="99"/>
    <w:semiHidden/>
    <w:unhideWhenUsed/>
    <w:rsid w:val="00A31DD1"/>
    <w:rPr>
      <w:sz w:val="16"/>
      <w:szCs w:val="16"/>
    </w:rPr>
  </w:style>
  <w:style w:type="paragraph" w:styleId="Tekstkomentara">
    <w:name w:val="annotation text"/>
    <w:basedOn w:val="Normal"/>
    <w:link w:val="TekstkomentaraChar"/>
    <w:uiPriority w:val="99"/>
    <w:semiHidden/>
    <w:unhideWhenUsed/>
    <w:rsid w:val="00A31DD1"/>
    <w:rPr>
      <w:sz w:val="20"/>
      <w:szCs w:val="20"/>
    </w:rPr>
  </w:style>
  <w:style w:type="character" w:customStyle="1" w:styleId="TekstkomentaraChar">
    <w:name w:val="Tekst komentara Char"/>
    <w:link w:val="Tekstkomentara"/>
    <w:uiPriority w:val="99"/>
    <w:semiHidden/>
    <w:rsid w:val="00A31DD1"/>
  </w:style>
  <w:style w:type="paragraph" w:styleId="Predmetkomentara">
    <w:name w:val="annotation subject"/>
    <w:basedOn w:val="Tekstkomentara"/>
    <w:next w:val="Tekstkomentara"/>
    <w:link w:val="PredmetkomentaraChar"/>
    <w:uiPriority w:val="99"/>
    <w:semiHidden/>
    <w:unhideWhenUsed/>
    <w:rsid w:val="00A31DD1"/>
    <w:rPr>
      <w:b/>
      <w:bCs/>
    </w:rPr>
  </w:style>
  <w:style w:type="character" w:customStyle="1" w:styleId="PredmetkomentaraChar">
    <w:name w:val="Predmet komentara Char"/>
    <w:link w:val="Predmetkomentara"/>
    <w:uiPriority w:val="99"/>
    <w:semiHidden/>
    <w:rsid w:val="00A31DD1"/>
    <w:rPr>
      <w:b/>
      <w:bCs/>
    </w:rPr>
  </w:style>
  <w:style w:type="paragraph" w:customStyle="1" w:styleId="Standard">
    <w:name w:val="Standard"/>
    <w:rsid w:val="00A31DD1"/>
    <w:pPr>
      <w:suppressAutoHyphens/>
      <w:autoSpaceDN w:val="0"/>
      <w:textAlignment w:val="baseline"/>
    </w:pPr>
    <w:rPr>
      <w:kern w:val="3"/>
      <w:lang w:eastAsia="en-US"/>
    </w:rPr>
  </w:style>
  <w:style w:type="paragraph" w:customStyle="1" w:styleId="Textbody">
    <w:name w:val="Text body"/>
    <w:basedOn w:val="Standard"/>
    <w:rsid w:val="00A31DD1"/>
    <w:pPr>
      <w:spacing w:after="120"/>
    </w:pPr>
  </w:style>
  <w:style w:type="numbering" w:customStyle="1" w:styleId="WWNum4">
    <w:name w:val="WWNum4"/>
    <w:basedOn w:val="Bezpopisa"/>
    <w:rsid w:val="00A31DD1"/>
    <w:pPr>
      <w:numPr>
        <w:numId w:val="3"/>
      </w:numPr>
    </w:pPr>
  </w:style>
  <w:style w:type="character" w:styleId="Brojstranice">
    <w:name w:val="page number"/>
    <w:rsid w:val="00A31DD1"/>
  </w:style>
  <w:style w:type="table" w:styleId="Reetkatablice">
    <w:name w:val="Table Grid"/>
    <w:basedOn w:val="Obinatablica"/>
    <w:rsid w:val="00A31DD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31DD1"/>
    <w:rPr>
      <w:lang w:eastAsia="en-US"/>
    </w:rPr>
  </w:style>
  <w:style w:type="character" w:customStyle="1" w:styleId="apple-style-span">
    <w:name w:val="apple-style-span"/>
    <w:rsid w:val="00A31DD1"/>
  </w:style>
  <w:style w:type="character" w:styleId="Hiperveza">
    <w:name w:val="Hyperlink"/>
    <w:uiPriority w:val="99"/>
    <w:semiHidden/>
    <w:unhideWhenUsed/>
    <w:rsid w:val="00A31DD1"/>
    <w:rPr>
      <w:color w:val="0000FF"/>
      <w:u w:val="single"/>
    </w:rPr>
  </w:style>
  <w:style w:type="paragraph" w:customStyle="1" w:styleId="Clanak">
    <w:name w:val="Clanak"/>
    <w:next w:val="T-98-2"/>
    <w:rsid w:val="00A31DD1"/>
    <w:pPr>
      <w:widowControl w:val="0"/>
      <w:autoSpaceDE w:val="0"/>
      <w:autoSpaceDN w:val="0"/>
      <w:adjustRightInd w:val="0"/>
      <w:spacing w:before="86" w:after="43"/>
      <w:jc w:val="center"/>
    </w:pPr>
    <w:rPr>
      <w:rFonts w:ascii="Times-NewRoman" w:hAnsi="Times-NewRoman"/>
      <w:sz w:val="19"/>
      <w:szCs w:val="19"/>
      <w:lang w:val="en-US" w:eastAsia="en-US"/>
    </w:rPr>
  </w:style>
  <w:style w:type="paragraph" w:styleId="Obinitekst">
    <w:name w:val="Plain Text"/>
    <w:basedOn w:val="Normal"/>
    <w:link w:val="ObinitekstChar"/>
    <w:uiPriority w:val="99"/>
    <w:unhideWhenUsed/>
    <w:rsid w:val="00A31DD1"/>
    <w:rPr>
      <w:rFonts w:ascii="Calibri" w:eastAsia="Calibri" w:hAnsi="Calibri"/>
      <w:sz w:val="22"/>
      <w:szCs w:val="22"/>
      <w:lang w:eastAsia="en-US"/>
    </w:rPr>
  </w:style>
  <w:style w:type="character" w:customStyle="1" w:styleId="ObinitekstChar">
    <w:name w:val="Obični tekst Char"/>
    <w:link w:val="Obinitekst"/>
    <w:uiPriority w:val="99"/>
    <w:rsid w:val="00A31DD1"/>
    <w:rPr>
      <w:rFonts w:ascii="Calibri" w:eastAsia="Calibri" w:hAnsi="Calibri"/>
      <w:sz w:val="22"/>
      <w:szCs w:val="22"/>
      <w:lang w:eastAsia="en-US"/>
    </w:rPr>
  </w:style>
  <w:style w:type="paragraph" w:customStyle="1" w:styleId="Bezproreda3">
    <w:name w:val="Bez proreda3"/>
    <w:qFormat/>
    <w:rsid w:val="00A31DD1"/>
    <w:rPr>
      <w:rFonts w:ascii="Calibri" w:eastAsia="Calibri" w:hAnsi="Calibri"/>
      <w:sz w:val="22"/>
      <w:szCs w:val="22"/>
      <w:lang w:val="en-US" w:eastAsia="en-US"/>
    </w:rPr>
  </w:style>
  <w:style w:type="paragraph" w:customStyle="1" w:styleId="ListParagraph1">
    <w:name w:val="List Paragraph1"/>
    <w:basedOn w:val="Normal"/>
    <w:uiPriority w:val="34"/>
    <w:qFormat/>
    <w:rsid w:val="00A31DD1"/>
    <w:pPr>
      <w:ind w:left="720"/>
    </w:pPr>
    <w:rPr>
      <w:sz w:val="20"/>
      <w:szCs w:val="20"/>
      <w:lang w:eastAsia="en-US"/>
    </w:rPr>
  </w:style>
  <w:style w:type="numbering" w:customStyle="1" w:styleId="Bezpopisa11">
    <w:name w:val="Bez popisa11"/>
    <w:next w:val="Bezpopisa"/>
    <w:uiPriority w:val="99"/>
    <w:semiHidden/>
    <w:unhideWhenUsed/>
    <w:rsid w:val="00A31DD1"/>
  </w:style>
  <w:style w:type="paragraph" w:customStyle="1" w:styleId="clanak-">
    <w:name w:val="clanak-"/>
    <w:basedOn w:val="Normal"/>
    <w:rsid w:val="00A31DD1"/>
    <w:pPr>
      <w:spacing w:before="100" w:beforeAutospacing="1" w:after="100" w:afterAutospacing="1"/>
      <w:jc w:val="center"/>
    </w:pPr>
    <w:rPr>
      <w:lang w:val="en-US" w:eastAsia="en-US"/>
    </w:rPr>
  </w:style>
  <w:style w:type="table" w:customStyle="1" w:styleId="Reetkatablice1">
    <w:name w:val="Rešetka tablice1"/>
    <w:basedOn w:val="Obinatablica"/>
    <w:next w:val="Reetkatablice"/>
    <w:uiPriority w:val="59"/>
    <w:rsid w:val="00A31DD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osjenanje-Isticanje3">
    <w:name w:val="Light Shading Accent 3"/>
    <w:basedOn w:val="Obinatablica"/>
    <w:uiPriority w:val="60"/>
    <w:rsid w:val="00A31DD1"/>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ijetlosjenanje">
    <w:name w:val="Light Shading"/>
    <w:basedOn w:val="Obinatablica"/>
    <w:uiPriority w:val="60"/>
    <w:rsid w:val="00A31DD1"/>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vuenotijelotekstaChar">
    <w:name w:val="Uvučeno tijelo teksta Char"/>
    <w:link w:val="Uvuenotijeloteksta"/>
    <w:semiHidden/>
    <w:rsid w:val="00ED705B"/>
    <w:rPr>
      <w:sz w:val="24"/>
      <w:szCs w:val="24"/>
    </w:rPr>
  </w:style>
  <w:style w:type="numbering" w:customStyle="1" w:styleId="WWNum41">
    <w:name w:val="WWNum41"/>
    <w:basedOn w:val="Bezpopisa"/>
    <w:rsid w:val="00ED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96644">
      <w:bodyDiv w:val="1"/>
      <w:marLeft w:val="0"/>
      <w:marRight w:val="0"/>
      <w:marTop w:val="0"/>
      <w:marBottom w:val="0"/>
      <w:divBdr>
        <w:top w:val="none" w:sz="0" w:space="0" w:color="auto"/>
        <w:left w:val="none" w:sz="0" w:space="0" w:color="auto"/>
        <w:bottom w:val="none" w:sz="0" w:space="0" w:color="auto"/>
        <w:right w:val="none" w:sz="0" w:space="0" w:color="auto"/>
      </w:divBdr>
    </w:div>
    <w:div w:id="693311292">
      <w:bodyDiv w:val="1"/>
      <w:marLeft w:val="0"/>
      <w:marRight w:val="0"/>
      <w:marTop w:val="0"/>
      <w:marBottom w:val="0"/>
      <w:divBdr>
        <w:top w:val="none" w:sz="0" w:space="0" w:color="auto"/>
        <w:left w:val="none" w:sz="0" w:space="0" w:color="auto"/>
        <w:bottom w:val="none" w:sz="0" w:space="0" w:color="auto"/>
        <w:right w:val="none" w:sz="0" w:space="0" w:color="auto"/>
      </w:divBdr>
    </w:div>
    <w:div w:id="865095287">
      <w:bodyDiv w:val="1"/>
      <w:marLeft w:val="0"/>
      <w:marRight w:val="0"/>
      <w:marTop w:val="0"/>
      <w:marBottom w:val="0"/>
      <w:divBdr>
        <w:top w:val="none" w:sz="0" w:space="0" w:color="auto"/>
        <w:left w:val="none" w:sz="0" w:space="0" w:color="auto"/>
        <w:bottom w:val="none" w:sz="0" w:space="0" w:color="auto"/>
        <w:right w:val="none" w:sz="0" w:space="0" w:color="auto"/>
      </w:divBdr>
    </w:div>
    <w:div w:id="912929035">
      <w:bodyDiv w:val="1"/>
      <w:marLeft w:val="0"/>
      <w:marRight w:val="0"/>
      <w:marTop w:val="0"/>
      <w:marBottom w:val="0"/>
      <w:divBdr>
        <w:top w:val="none" w:sz="0" w:space="0" w:color="auto"/>
        <w:left w:val="none" w:sz="0" w:space="0" w:color="auto"/>
        <w:bottom w:val="none" w:sz="0" w:space="0" w:color="auto"/>
        <w:right w:val="none" w:sz="0" w:space="0" w:color="auto"/>
      </w:divBdr>
    </w:div>
    <w:div w:id="1158811041">
      <w:bodyDiv w:val="1"/>
      <w:marLeft w:val="0"/>
      <w:marRight w:val="0"/>
      <w:marTop w:val="0"/>
      <w:marBottom w:val="0"/>
      <w:divBdr>
        <w:top w:val="none" w:sz="0" w:space="0" w:color="auto"/>
        <w:left w:val="none" w:sz="0" w:space="0" w:color="auto"/>
        <w:bottom w:val="none" w:sz="0" w:space="0" w:color="auto"/>
        <w:right w:val="none" w:sz="0" w:space="0" w:color="auto"/>
      </w:divBdr>
    </w:div>
    <w:div w:id="1196768163">
      <w:bodyDiv w:val="1"/>
      <w:marLeft w:val="0"/>
      <w:marRight w:val="0"/>
      <w:marTop w:val="0"/>
      <w:marBottom w:val="0"/>
      <w:divBdr>
        <w:top w:val="none" w:sz="0" w:space="0" w:color="auto"/>
        <w:left w:val="none" w:sz="0" w:space="0" w:color="auto"/>
        <w:bottom w:val="none" w:sz="0" w:space="0" w:color="auto"/>
        <w:right w:val="none" w:sz="0" w:space="0" w:color="auto"/>
      </w:divBdr>
    </w:div>
    <w:div w:id="1239897886">
      <w:bodyDiv w:val="1"/>
      <w:marLeft w:val="0"/>
      <w:marRight w:val="0"/>
      <w:marTop w:val="0"/>
      <w:marBottom w:val="0"/>
      <w:divBdr>
        <w:top w:val="none" w:sz="0" w:space="0" w:color="auto"/>
        <w:left w:val="none" w:sz="0" w:space="0" w:color="auto"/>
        <w:bottom w:val="none" w:sz="0" w:space="0" w:color="auto"/>
        <w:right w:val="none" w:sz="0" w:space="0" w:color="auto"/>
      </w:divBdr>
    </w:div>
    <w:div w:id="1299066926">
      <w:bodyDiv w:val="1"/>
      <w:marLeft w:val="0"/>
      <w:marRight w:val="0"/>
      <w:marTop w:val="0"/>
      <w:marBottom w:val="0"/>
      <w:divBdr>
        <w:top w:val="none" w:sz="0" w:space="0" w:color="auto"/>
        <w:left w:val="none" w:sz="0" w:space="0" w:color="auto"/>
        <w:bottom w:val="none" w:sz="0" w:space="0" w:color="auto"/>
        <w:right w:val="none" w:sz="0" w:space="0" w:color="auto"/>
      </w:divBdr>
    </w:div>
    <w:div w:id="1388844745">
      <w:bodyDiv w:val="1"/>
      <w:marLeft w:val="0"/>
      <w:marRight w:val="0"/>
      <w:marTop w:val="0"/>
      <w:marBottom w:val="0"/>
      <w:divBdr>
        <w:top w:val="none" w:sz="0" w:space="0" w:color="auto"/>
        <w:left w:val="none" w:sz="0" w:space="0" w:color="auto"/>
        <w:bottom w:val="none" w:sz="0" w:space="0" w:color="auto"/>
        <w:right w:val="none" w:sz="0" w:space="0" w:color="auto"/>
      </w:divBdr>
    </w:div>
    <w:div w:id="1433545853">
      <w:bodyDiv w:val="1"/>
      <w:marLeft w:val="0"/>
      <w:marRight w:val="0"/>
      <w:marTop w:val="0"/>
      <w:marBottom w:val="0"/>
      <w:divBdr>
        <w:top w:val="none" w:sz="0" w:space="0" w:color="auto"/>
        <w:left w:val="none" w:sz="0" w:space="0" w:color="auto"/>
        <w:bottom w:val="none" w:sz="0" w:space="0" w:color="auto"/>
        <w:right w:val="none" w:sz="0" w:space="0" w:color="auto"/>
      </w:divBdr>
    </w:div>
    <w:div w:id="1504128523">
      <w:bodyDiv w:val="1"/>
      <w:marLeft w:val="0"/>
      <w:marRight w:val="0"/>
      <w:marTop w:val="0"/>
      <w:marBottom w:val="0"/>
      <w:divBdr>
        <w:top w:val="none" w:sz="0" w:space="0" w:color="auto"/>
        <w:left w:val="none" w:sz="0" w:space="0" w:color="auto"/>
        <w:bottom w:val="none" w:sz="0" w:space="0" w:color="auto"/>
        <w:right w:val="none" w:sz="0" w:space="0" w:color="auto"/>
      </w:divBdr>
    </w:div>
    <w:div w:id="18319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orisnik\Desktop\matulji\2020\pRORA&#268;UN\prora&#269;un%202021\izra&#269;uni.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orisnik\Desktop\matulji\2020\pRORA&#268;UN\prora&#269;un%202021\izra&#269;uni.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PRORAČUN</a:t>
            </a:r>
            <a:r>
              <a:rPr lang="hr-HR" baseline="0"/>
              <a:t> ZA 2021 I PROJEKCIJA ZA 2022-2023</a:t>
            </a:r>
            <a:endParaRPr lang="en-US"/>
          </a:p>
        </c:rich>
      </c:tx>
      <c:layout>
        <c:manualLayout>
          <c:xMode val="edge"/>
          <c:yMode val="edge"/>
          <c:x val="0.18216162156832366"/>
          <c:y val="2.1447690939459016E-2"/>
        </c:manualLayout>
      </c:layout>
      <c:overlay val="0"/>
      <c:spPr>
        <a:noFill/>
        <a:ln w="25399">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2"/>
          <c:order val="0"/>
          <c:spPr>
            <a:solidFill>
              <a:srgbClr val="9BBB59"/>
            </a:solidFill>
            <a:ln w="25399">
              <a:noFill/>
            </a:ln>
          </c:spPr>
          <c:invertIfNegative val="0"/>
          <c:dPt>
            <c:idx val="0"/>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00-E9EA-4DF8-9B6F-C2DF33241C40}"/>
              </c:ext>
            </c:extLst>
          </c:dPt>
          <c:dPt>
            <c:idx val="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1-E9EA-4DF8-9B6F-C2DF33241C40}"/>
              </c:ext>
            </c:extLst>
          </c:dPt>
          <c:dPt>
            <c:idx val="3"/>
            <c:invertIfNegative val="0"/>
            <c:bubble3D val="0"/>
            <c:spPr>
              <a:solidFill>
                <a:schemeClr val="accent2">
                  <a:lumMod val="60000"/>
                  <a:lumOff val="40000"/>
                </a:schemeClr>
              </a:solidFill>
              <a:ln>
                <a:noFill/>
              </a:ln>
              <a:effectLst/>
              <a:sp3d/>
            </c:spPr>
            <c:extLst>
              <c:ext xmlns:c16="http://schemas.microsoft.com/office/drawing/2014/chart" uri="{C3380CC4-5D6E-409C-BE32-E72D297353CC}">
                <c16:uniqueId val="{00000002-E9EA-4DF8-9B6F-C2DF33241C40}"/>
              </c:ext>
            </c:extLst>
          </c:dPt>
          <c:cat>
            <c:strRef>
              <c:f>UK!$B$3:$E$3</c:f>
              <c:strCache>
                <c:ptCount val="4"/>
                <c:pt idx="0">
                  <c:v>PRORAČUN 2020</c:v>
                </c:pt>
                <c:pt idx="1">
                  <c:v>PRORAČUN 2021</c:v>
                </c:pt>
                <c:pt idx="2">
                  <c:v>PROJEKCIJA 2022</c:v>
                </c:pt>
                <c:pt idx="3">
                  <c:v>PROJEKCIJA 2023</c:v>
                </c:pt>
              </c:strCache>
            </c:strRef>
          </c:cat>
          <c:val>
            <c:numRef>
              <c:f>UK!$B$6:$E$6</c:f>
              <c:numCache>
                <c:formatCode>#,##0</c:formatCode>
                <c:ptCount val="4"/>
                <c:pt idx="0">
                  <c:v>116289667</c:v>
                </c:pt>
                <c:pt idx="1">
                  <c:v>92649830</c:v>
                </c:pt>
                <c:pt idx="2">
                  <c:v>79109105</c:v>
                </c:pt>
                <c:pt idx="3">
                  <c:v>79573030</c:v>
                </c:pt>
              </c:numCache>
            </c:numRef>
          </c:val>
          <c:extLst>
            <c:ext xmlns:c16="http://schemas.microsoft.com/office/drawing/2014/chart" uri="{C3380CC4-5D6E-409C-BE32-E72D297353CC}">
              <c16:uniqueId val="{00000003-E9EA-4DF8-9B6F-C2DF33241C40}"/>
            </c:ext>
          </c:extLst>
        </c:ser>
        <c:dLbls>
          <c:showLegendKey val="0"/>
          <c:showVal val="0"/>
          <c:showCatName val="0"/>
          <c:showSerName val="0"/>
          <c:showPercent val="0"/>
          <c:showBubbleSize val="0"/>
        </c:dLbls>
        <c:gapWidth val="150"/>
        <c:shape val="box"/>
        <c:axId val="191449328"/>
        <c:axId val="1"/>
        <c:axId val="0"/>
      </c:bar3DChart>
      <c:catAx>
        <c:axId val="191449328"/>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91449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w="25399">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PRIHODI I PRIMICI</a:t>
            </a:r>
          </a:p>
        </c:rich>
      </c:tx>
      <c:overlay val="0"/>
      <c:spPr>
        <a:noFill/>
        <a:ln w="25400">
          <a:noFill/>
        </a:ln>
      </c:spPr>
    </c:title>
    <c:autoTitleDeleted val="0"/>
    <c:plotArea>
      <c:layout/>
      <c:barChart>
        <c:barDir val="col"/>
        <c:grouping val="clustered"/>
        <c:varyColors val="0"/>
        <c:ser>
          <c:idx val="1"/>
          <c:order val="0"/>
          <c:tx>
            <c:strRef>
              <c:f>'PR RAS'!$A$4</c:f>
              <c:strCache>
                <c:ptCount val="1"/>
              </c:strCache>
            </c:strRef>
          </c:tx>
          <c:spPr>
            <a:solidFill>
              <a:srgbClr val="C0504D"/>
            </a:solidFill>
            <a:ln w="25400">
              <a:noFill/>
            </a:ln>
          </c:spPr>
          <c:invertIfNegative val="0"/>
          <c:cat>
            <c:multiLvlStrRef>
              <c:f>'PR RAS'!$B$1:$E$2</c:f>
              <c:multiLvlStrCache>
                <c:ptCount val="4"/>
                <c:lvl>
                  <c:pt idx="0">
                    <c:v>2020</c:v>
                  </c:pt>
                  <c:pt idx="1">
                    <c:v>2021</c:v>
                  </c:pt>
                  <c:pt idx="2">
                    <c:v>2022</c:v>
                  </c:pt>
                  <c:pt idx="3">
                    <c:v>2023</c:v>
                  </c:pt>
                </c:lvl>
                <c:lvl>
                  <c:pt idx="0">
                    <c:v>PRORAČUN</c:v>
                  </c:pt>
                  <c:pt idx="1">
                    <c:v>PRORAČUN</c:v>
                  </c:pt>
                  <c:pt idx="2">
                    <c:v>PROJEKCIJA</c:v>
                  </c:pt>
                  <c:pt idx="3">
                    <c:v>PROJEKCIJA</c:v>
                  </c:pt>
                </c:lvl>
              </c:multiLvlStrCache>
            </c:multiLvlStrRef>
          </c:cat>
          <c:val>
            <c:numRef>
              <c:f>'PR RAS'!$B$4:$E$4</c:f>
            </c:numRef>
          </c:val>
          <c:extLst>
            <c:ext xmlns:c16="http://schemas.microsoft.com/office/drawing/2014/chart" uri="{C3380CC4-5D6E-409C-BE32-E72D297353CC}">
              <c16:uniqueId val="{00000000-270A-48A5-B65D-B20CBA6C4AD4}"/>
            </c:ext>
          </c:extLst>
        </c:ser>
        <c:ser>
          <c:idx val="2"/>
          <c:order val="1"/>
          <c:tx>
            <c:strRef>
              <c:f>'PR RAS'!$A$5</c:f>
              <c:strCache>
                <c:ptCount val="1"/>
                <c:pt idx="0">
                  <c:v>1.PRIHODI POSLOVANJA </c:v>
                </c:pt>
              </c:strCache>
            </c:strRef>
          </c:tx>
          <c:spPr>
            <a:solidFill>
              <a:srgbClr val="9BBB59"/>
            </a:solidFill>
            <a:ln w="25400">
              <a:noFill/>
            </a:ln>
          </c:spPr>
          <c:invertIfNegative val="0"/>
          <c:cat>
            <c:multiLvlStrRef>
              <c:f>'PR RAS'!$B$1:$E$2</c:f>
              <c:multiLvlStrCache>
                <c:ptCount val="4"/>
                <c:lvl>
                  <c:pt idx="0">
                    <c:v>2020</c:v>
                  </c:pt>
                  <c:pt idx="1">
                    <c:v>2021</c:v>
                  </c:pt>
                  <c:pt idx="2">
                    <c:v>2022</c:v>
                  </c:pt>
                  <c:pt idx="3">
                    <c:v>2023</c:v>
                  </c:pt>
                </c:lvl>
                <c:lvl>
                  <c:pt idx="0">
                    <c:v>PRORAČUN</c:v>
                  </c:pt>
                  <c:pt idx="1">
                    <c:v>PRORAČUN</c:v>
                  </c:pt>
                  <c:pt idx="2">
                    <c:v>PROJEKCIJA</c:v>
                  </c:pt>
                  <c:pt idx="3">
                    <c:v>PROJEKCIJA</c:v>
                  </c:pt>
                </c:lvl>
              </c:multiLvlStrCache>
            </c:multiLvlStrRef>
          </c:cat>
          <c:val>
            <c:numRef>
              <c:f>'PR RAS'!$B$5:$E$5</c:f>
              <c:numCache>
                <c:formatCode>#,##0</c:formatCode>
                <c:ptCount val="4"/>
                <c:pt idx="0">
                  <c:v>72565746</c:v>
                </c:pt>
                <c:pt idx="1">
                  <c:v>65549830</c:v>
                </c:pt>
                <c:pt idx="2">
                  <c:v>62209105</c:v>
                </c:pt>
                <c:pt idx="3">
                  <c:v>65573030</c:v>
                </c:pt>
              </c:numCache>
            </c:numRef>
          </c:val>
          <c:extLst>
            <c:ext xmlns:c16="http://schemas.microsoft.com/office/drawing/2014/chart" uri="{C3380CC4-5D6E-409C-BE32-E72D297353CC}">
              <c16:uniqueId val="{00000001-270A-48A5-B65D-B20CBA6C4AD4}"/>
            </c:ext>
          </c:extLst>
        </c:ser>
        <c:ser>
          <c:idx val="3"/>
          <c:order val="2"/>
          <c:tx>
            <c:strRef>
              <c:f>'PR RAS'!$A$6</c:f>
              <c:strCache>
                <c:ptCount val="1"/>
                <c:pt idx="0">
                  <c:v>2.PRIHODI OD PRODAJE NEFINANCIJSKE IMOVINE </c:v>
                </c:pt>
              </c:strCache>
            </c:strRef>
          </c:tx>
          <c:spPr>
            <a:solidFill>
              <a:srgbClr val="8064A2"/>
            </a:solidFill>
            <a:ln w="25400">
              <a:noFill/>
            </a:ln>
          </c:spPr>
          <c:invertIfNegative val="0"/>
          <c:cat>
            <c:multiLvlStrRef>
              <c:f>'PR RAS'!$B$1:$E$2</c:f>
              <c:multiLvlStrCache>
                <c:ptCount val="4"/>
                <c:lvl>
                  <c:pt idx="0">
                    <c:v>2020</c:v>
                  </c:pt>
                  <c:pt idx="1">
                    <c:v>2021</c:v>
                  </c:pt>
                  <c:pt idx="2">
                    <c:v>2022</c:v>
                  </c:pt>
                  <c:pt idx="3">
                    <c:v>2023</c:v>
                  </c:pt>
                </c:lvl>
                <c:lvl>
                  <c:pt idx="0">
                    <c:v>PRORAČUN</c:v>
                  </c:pt>
                  <c:pt idx="1">
                    <c:v>PRORAČUN</c:v>
                  </c:pt>
                  <c:pt idx="2">
                    <c:v>PROJEKCIJA</c:v>
                  </c:pt>
                  <c:pt idx="3">
                    <c:v>PROJEKCIJA</c:v>
                  </c:pt>
                </c:lvl>
              </c:multiLvlStrCache>
            </c:multiLvlStrRef>
          </c:cat>
          <c:val>
            <c:numRef>
              <c:f>'PR RAS'!$B$6:$E$6</c:f>
              <c:numCache>
                <c:formatCode>#,##0</c:formatCode>
                <c:ptCount val="4"/>
                <c:pt idx="0">
                  <c:v>6662064</c:v>
                </c:pt>
                <c:pt idx="1">
                  <c:v>4000000</c:v>
                </c:pt>
                <c:pt idx="2">
                  <c:v>14000000</c:v>
                </c:pt>
                <c:pt idx="3">
                  <c:v>14000000</c:v>
                </c:pt>
              </c:numCache>
            </c:numRef>
          </c:val>
          <c:extLst>
            <c:ext xmlns:c16="http://schemas.microsoft.com/office/drawing/2014/chart" uri="{C3380CC4-5D6E-409C-BE32-E72D297353CC}">
              <c16:uniqueId val="{00000002-270A-48A5-B65D-B20CBA6C4AD4}"/>
            </c:ext>
          </c:extLst>
        </c:ser>
        <c:ser>
          <c:idx val="4"/>
          <c:order val="3"/>
          <c:tx>
            <c:strRef>
              <c:f>'PR RAS'!$A$7</c:f>
              <c:strCache>
                <c:ptCount val="1"/>
                <c:pt idx="0">
                  <c:v>3.PRIMICI (od financijske imovine i zaduženja) </c:v>
                </c:pt>
              </c:strCache>
            </c:strRef>
          </c:tx>
          <c:spPr>
            <a:solidFill>
              <a:srgbClr val="4BACC6"/>
            </a:solidFill>
            <a:ln w="25400">
              <a:noFill/>
            </a:ln>
          </c:spPr>
          <c:invertIfNegative val="0"/>
          <c:cat>
            <c:multiLvlStrRef>
              <c:f>'PR RAS'!$B$1:$E$2</c:f>
              <c:multiLvlStrCache>
                <c:ptCount val="4"/>
                <c:lvl>
                  <c:pt idx="0">
                    <c:v>2020</c:v>
                  </c:pt>
                  <c:pt idx="1">
                    <c:v>2021</c:v>
                  </c:pt>
                  <c:pt idx="2">
                    <c:v>2022</c:v>
                  </c:pt>
                  <c:pt idx="3">
                    <c:v>2023</c:v>
                  </c:pt>
                </c:lvl>
                <c:lvl>
                  <c:pt idx="0">
                    <c:v>PRORAČUN</c:v>
                  </c:pt>
                  <c:pt idx="1">
                    <c:v>PRORAČUN</c:v>
                  </c:pt>
                  <c:pt idx="2">
                    <c:v>PROJEKCIJA</c:v>
                  </c:pt>
                  <c:pt idx="3">
                    <c:v>PROJEKCIJA</c:v>
                  </c:pt>
                </c:lvl>
              </c:multiLvlStrCache>
            </c:multiLvlStrRef>
          </c:cat>
          <c:val>
            <c:numRef>
              <c:f>'PR RAS'!$B$7:$E$7</c:f>
              <c:numCache>
                <c:formatCode>#,##0</c:formatCode>
                <c:ptCount val="4"/>
                <c:pt idx="0">
                  <c:v>17250000</c:v>
                </c:pt>
                <c:pt idx="1">
                  <c:v>23100000</c:v>
                </c:pt>
                <c:pt idx="2">
                  <c:v>2900000</c:v>
                </c:pt>
                <c:pt idx="3">
                  <c:v>0</c:v>
                </c:pt>
              </c:numCache>
            </c:numRef>
          </c:val>
          <c:extLst>
            <c:ext xmlns:c16="http://schemas.microsoft.com/office/drawing/2014/chart" uri="{C3380CC4-5D6E-409C-BE32-E72D297353CC}">
              <c16:uniqueId val="{00000003-270A-48A5-B65D-B20CBA6C4AD4}"/>
            </c:ext>
          </c:extLst>
        </c:ser>
        <c:ser>
          <c:idx val="5"/>
          <c:order val="4"/>
          <c:tx>
            <c:strRef>
              <c:f>'PR RAS'!$A$8</c:f>
              <c:strCache>
                <c:ptCount val="1"/>
                <c:pt idx="0">
                  <c:v>4. RASPOLOŽIVA SREDSTVA (iz prethodnih razdoblja) </c:v>
                </c:pt>
              </c:strCache>
            </c:strRef>
          </c:tx>
          <c:spPr>
            <a:solidFill>
              <a:srgbClr val="F79646"/>
            </a:solidFill>
            <a:ln w="25400">
              <a:noFill/>
            </a:ln>
          </c:spPr>
          <c:invertIfNegative val="0"/>
          <c:cat>
            <c:multiLvlStrRef>
              <c:f>'PR RAS'!$B$1:$E$2</c:f>
              <c:multiLvlStrCache>
                <c:ptCount val="4"/>
                <c:lvl>
                  <c:pt idx="0">
                    <c:v>2020</c:v>
                  </c:pt>
                  <c:pt idx="1">
                    <c:v>2021</c:v>
                  </c:pt>
                  <c:pt idx="2">
                    <c:v>2022</c:v>
                  </c:pt>
                  <c:pt idx="3">
                    <c:v>2023</c:v>
                  </c:pt>
                </c:lvl>
                <c:lvl>
                  <c:pt idx="0">
                    <c:v>PRORAČUN</c:v>
                  </c:pt>
                  <c:pt idx="1">
                    <c:v>PRORAČUN</c:v>
                  </c:pt>
                  <c:pt idx="2">
                    <c:v>PROJEKCIJA</c:v>
                  </c:pt>
                  <c:pt idx="3">
                    <c:v>PROJEKCIJA</c:v>
                  </c:pt>
                </c:lvl>
              </c:multiLvlStrCache>
            </c:multiLvlStrRef>
          </c:cat>
          <c:val>
            <c:numRef>
              <c:f>'PR RAS'!$B$8:$E$8</c:f>
              <c:numCache>
                <c:formatCode>#,##0</c:formatCode>
                <c:ptCount val="4"/>
                <c:pt idx="0">
                  <c:v>19811857</c:v>
                </c:pt>
                <c:pt idx="1">
                  <c:v>0</c:v>
                </c:pt>
                <c:pt idx="2">
                  <c:v>0</c:v>
                </c:pt>
                <c:pt idx="3">
                  <c:v>0</c:v>
                </c:pt>
              </c:numCache>
            </c:numRef>
          </c:val>
          <c:extLst>
            <c:ext xmlns:c16="http://schemas.microsoft.com/office/drawing/2014/chart" uri="{C3380CC4-5D6E-409C-BE32-E72D297353CC}">
              <c16:uniqueId val="{00000004-270A-48A5-B65D-B20CBA6C4AD4}"/>
            </c:ext>
          </c:extLst>
        </c:ser>
        <c:dLbls>
          <c:showLegendKey val="0"/>
          <c:showVal val="0"/>
          <c:showCatName val="0"/>
          <c:showSerName val="0"/>
          <c:showPercent val="0"/>
          <c:showBubbleSize val="0"/>
        </c:dLbls>
        <c:gapWidth val="150"/>
        <c:axId val="395093880"/>
        <c:axId val="1"/>
      </c:barChart>
      <c:catAx>
        <c:axId val="39509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
        <c:crosses val="autoZero"/>
        <c:auto val="1"/>
        <c:lblAlgn val="ctr"/>
        <c:lblOffset val="100"/>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95093880"/>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PRORAČUN 2021. I PROJEKCIJA 2022. I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RAZDJELI!$W$2</c:f>
              <c:strCache>
                <c:ptCount val="1"/>
                <c:pt idx="0">
                  <c:v>RAZDJEL 1. PREDSTAVNIČKO i IZVRŠNO TIJELO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RAZDJELI!$X$1:$AA$1</c:f>
              <c:strCache>
                <c:ptCount val="4"/>
                <c:pt idx="0">
                  <c:v>PRORAČUN 2020</c:v>
                </c:pt>
                <c:pt idx="1">
                  <c:v>PRORAČUN 2021</c:v>
                </c:pt>
                <c:pt idx="2">
                  <c:v>PRORAČUN 2022</c:v>
                </c:pt>
                <c:pt idx="3">
                  <c:v>PRORAČUN 2023</c:v>
                </c:pt>
              </c:strCache>
            </c:strRef>
          </c:cat>
          <c:val>
            <c:numRef>
              <c:f>RAZDJELI!$X$2:$AA$2</c:f>
              <c:numCache>
                <c:formatCode>#,##0</c:formatCode>
                <c:ptCount val="4"/>
                <c:pt idx="0">
                  <c:v>3316043.44</c:v>
                </c:pt>
                <c:pt idx="1">
                  <c:v>2535280</c:v>
                </c:pt>
                <c:pt idx="2">
                  <c:v>2230155</c:v>
                </c:pt>
                <c:pt idx="3">
                  <c:v>2230155</c:v>
                </c:pt>
              </c:numCache>
            </c:numRef>
          </c:val>
          <c:extLst>
            <c:ext xmlns:c16="http://schemas.microsoft.com/office/drawing/2014/chart" uri="{C3380CC4-5D6E-409C-BE32-E72D297353CC}">
              <c16:uniqueId val="{00000000-BD4E-4959-9283-A8577B3BF342}"/>
            </c:ext>
          </c:extLst>
        </c:ser>
        <c:ser>
          <c:idx val="1"/>
          <c:order val="1"/>
          <c:tx>
            <c:strRef>
              <c:f>RAZDJELI!$W$3</c:f>
              <c:strCache>
                <c:ptCount val="1"/>
                <c:pt idx="0">
                  <c:v>RAZDJEL 2. JEDINSTVENI UPRAVNI ODJEL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RAZDJELI!$X$1:$AA$1</c:f>
              <c:strCache>
                <c:ptCount val="4"/>
                <c:pt idx="0">
                  <c:v>PRORAČUN 2020</c:v>
                </c:pt>
                <c:pt idx="1">
                  <c:v>PRORAČUN 2021</c:v>
                </c:pt>
                <c:pt idx="2">
                  <c:v>PRORAČUN 2022</c:v>
                </c:pt>
                <c:pt idx="3">
                  <c:v>PRORAČUN 2023</c:v>
                </c:pt>
              </c:strCache>
            </c:strRef>
          </c:cat>
          <c:val>
            <c:numRef>
              <c:f>RAZDJELI!$X$3:$AA$3</c:f>
              <c:numCache>
                <c:formatCode>#,##0</c:formatCode>
                <c:ptCount val="4"/>
                <c:pt idx="0">
                  <c:v>112973623.29000001</c:v>
                </c:pt>
                <c:pt idx="1">
                  <c:v>90114550</c:v>
                </c:pt>
                <c:pt idx="2">
                  <c:v>76878950</c:v>
                </c:pt>
                <c:pt idx="3">
                  <c:v>77342875</c:v>
                </c:pt>
              </c:numCache>
            </c:numRef>
          </c:val>
          <c:extLst>
            <c:ext xmlns:c16="http://schemas.microsoft.com/office/drawing/2014/chart" uri="{C3380CC4-5D6E-409C-BE32-E72D297353CC}">
              <c16:uniqueId val="{00000001-BD4E-4959-9283-A8577B3BF342}"/>
            </c:ext>
          </c:extLst>
        </c:ser>
        <c:dLbls>
          <c:showLegendKey val="0"/>
          <c:showVal val="1"/>
          <c:showCatName val="0"/>
          <c:showSerName val="0"/>
          <c:showPercent val="0"/>
          <c:showBubbleSize val="0"/>
        </c:dLbls>
        <c:gapWidth val="150"/>
        <c:shape val="box"/>
        <c:axId val="552202968"/>
        <c:axId val="552208216"/>
        <c:axId val="0"/>
      </c:bar3DChart>
      <c:catAx>
        <c:axId val="552202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2208216"/>
        <c:crosses val="autoZero"/>
        <c:auto val="1"/>
        <c:lblAlgn val="ctr"/>
        <c:lblOffset val="100"/>
        <c:noMultiLvlLbl val="0"/>
      </c:catAx>
      <c:valAx>
        <c:axId val="552208216"/>
        <c:scaling>
          <c:orientation val="minMax"/>
        </c:scaling>
        <c:delete val="1"/>
        <c:axPos val="l"/>
        <c:numFmt formatCode="#,##0" sourceLinked="1"/>
        <c:majorTickMark val="none"/>
        <c:minorTickMark val="none"/>
        <c:tickLblPos val="nextTo"/>
        <c:crossAx val="5522029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2698946213812833E-2"/>
          <c:y val="2.6740077030601054E-2"/>
          <c:w val="0.89291056528381729"/>
          <c:h val="0.88266288553011329"/>
        </c:manualLayout>
      </c:layout>
      <c:pie3DChart>
        <c:varyColors val="1"/>
        <c:ser>
          <c:idx val="0"/>
          <c:order val="0"/>
          <c:dPt>
            <c:idx val="0"/>
            <c:bubble3D val="0"/>
            <c:extLst>
              <c:ext xmlns:c16="http://schemas.microsoft.com/office/drawing/2014/chart" uri="{C3380CC4-5D6E-409C-BE32-E72D297353CC}">
                <c16:uniqueId val="{00000000-87EE-47A8-B689-472470701D8D}"/>
              </c:ext>
            </c:extLst>
          </c:dPt>
          <c:dPt>
            <c:idx val="1"/>
            <c:bubble3D val="0"/>
            <c:extLst>
              <c:ext xmlns:c16="http://schemas.microsoft.com/office/drawing/2014/chart" uri="{C3380CC4-5D6E-409C-BE32-E72D297353CC}">
                <c16:uniqueId val="{00000001-87EE-47A8-B689-472470701D8D}"/>
              </c:ext>
            </c:extLst>
          </c:dPt>
          <c:dPt>
            <c:idx val="2"/>
            <c:bubble3D val="0"/>
            <c:extLst>
              <c:ext xmlns:c16="http://schemas.microsoft.com/office/drawing/2014/chart" uri="{C3380CC4-5D6E-409C-BE32-E72D297353CC}">
                <c16:uniqueId val="{00000002-87EE-47A8-B689-472470701D8D}"/>
              </c:ext>
            </c:extLst>
          </c:dPt>
          <c:dPt>
            <c:idx val="3"/>
            <c:bubble3D val="0"/>
            <c:extLst>
              <c:ext xmlns:c16="http://schemas.microsoft.com/office/drawing/2014/chart" uri="{C3380CC4-5D6E-409C-BE32-E72D297353CC}">
                <c16:uniqueId val="{00000003-87EE-47A8-B689-472470701D8D}"/>
              </c:ext>
            </c:extLst>
          </c:dPt>
          <c:dPt>
            <c:idx val="4"/>
            <c:bubble3D val="0"/>
            <c:extLst>
              <c:ext xmlns:c16="http://schemas.microsoft.com/office/drawing/2014/chart" uri="{C3380CC4-5D6E-409C-BE32-E72D297353CC}">
                <c16:uniqueId val="{00000004-87EE-47A8-B689-472470701D8D}"/>
              </c:ext>
            </c:extLst>
          </c:dPt>
          <c:dPt>
            <c:idx val="5"/>
            <c:bubble3D val="0"/>
            <c:extLst>
              <c:ext xmlns:c16="http://schemas.microsoft.com/office/drawing/2014/chart" uri="{C3380CC4-5D6E-409C-BE32-E72D297353CC}">
                <c16:uniqueId val="{00000005-87EE-47A8-B689-472470701D8D}"/>
              </c:ext>
            </c:extLst>
          </c:dPt>
          <c:dPt>
            <c:idx val="6"/>
            <c:bubble3D val="0"/>
            <c:extLst>
              <c:ext xmlns:c16="http://schemas.microsoft.com/office/drawing/2014/chart" uri="{C3380CC4-5D6E-409C-BE32-E72D297353CC}">
                <c16:uniqueId val="{00000006-87EE-47A8-B689-472470701D8D}"/>
              </c:ext>
            </c:extLst>
          </c:dPt>
          <c:dPt>
            <c:idx val="7"/>
            <c:bubble3D val="0"/>
            <c:extLst>
              <c:ext xmlns:c16="http://schemas.microsoft.com/office/drawing/2014/chart" uri="{C3380CC4-5D6E-409C-BE32-E72D297353CC}">
                <c16:uniqueId val="{00000007-87EE-47A8-B689-472470701D8D}"/>
              </c:ext>
            </c:extLst>
          </c:dPt>
          <c:dPt>
            <c:idx val="8"/>
            <c:bubble3D val="0"/>
            <c:extLst>
              <c:ext xmlns:c16="http://schemas.microsoft.com/office/drawing/2014/chart" uri="{C3380CC4-5D6E-409C-BE32-E72D297353CC}">
                <c16:uniqueId val="{00000008-87EE-47A8-B689-472470701D8D}"/>
              </c:ext>
            </c:extLst>
          </c:dPt>
          <c:dPt>
            <c:idx val="9"/>
            <c:bubble3D val="0"/>
            <c:extLst>
              <c:ext xmlns:c16="http://schemas.microsoft.com/office/drawing/2014/chart" uri="{C3380CC4-5D6E-409C-BE32-E72D297353CC}">
                <c16:uniqueId val="{00000009-87EE-47A8-B689-472470701D8D}"/>
              </c:ext>
            </c:extLst>
          </c:dPt>
          <c:dPt>
            <c:idx val="10"/>
            <c:bubble3D val="0"/>
            <c:extLst>
              <c:ext xmlns:c16="http://schemas.microsoft.com/office/drawing/2014/chart" uri="{C3380CC4-5D6E-409C-BE32-E72D297353CC}">
                <c16:uniqueId val="{0000000A-87EE-47A8-B689-472470701D8D}"/>
              </c:ext>
            </c:extLst>
          </c:dPt>
          <c:dPt>
            <c:idx val="11"/>
            <c:bubble3D val="0"/>
            <c:extLst>
              <c:ext xmlns:c16="http://schemas.microsoft.com/office/drawing/2014/chart" uri="{C3380CC4-5D6E-409C-BE32-E72D297353CC}">
                <c16:uniqueId val="{0000000B-87EE-47A8-B689-472470701D8D}"/>
              </c:ext>
            </c:extLst>
          </c:dPt>
          <c:dPt>
            <c:idx val="12"/>
            <c:bubble3D val="0"/>
            <c:extLst>
              <c:ext xmlns:c16="http://schemas.microsoft.com/office/drawing/2014/chart" uri="{C3380CC4-5D6E-409C-BE32-E72D297353CC}">
                <c16:uniqueId val="{0000000C-87EE-47A8-B689-472470701D8D}"/>
              </c:ext>
            </c:extLst>
          </c:dPt>
          <c:dPt>
            <c:idx val="13"/>
            <c:bubble3D val="0"/>
            <c:extLst>
              <c:ext xmlns:c16="http://schemas.microsoft.com/office/drawing/2014/chart" uri="{C3380CC4-5D6E-409C-BE32-E72D297353CC}">
                <c16:uniqueId val="{0000000D-87EE-47A8-B689-472470701D8D}"/>
              </c:ext>
            </c:extLst>
          </c:dPt>
          <c:dPt>
            <c:idx val="14"/>
            <c:bubble3D val="0"/>
            <c:extLst>
              <c:ext xmlns:c16="http://schemas.microsoft.com/office/drawing/2014/chart" uri="{C3380CC4-5D6E-409C-BE32-E72D297353CC}">
                <c16:uniqueId val="{0000000E-87EE-47A8-B689-472470701D8D}"/>
              </c:ext>
            </c:extLst>
          </c:dPt>
          <c:dPt>
            <c:idx val="15"/>
            <c:bubble3D val="0"/>
            <c:extLst>
              <c:ext xmlns:c16="http://schemas.microsoft.com/office/drawing/2014/chart" uri="{C3380CC4-5D6E-409C-BE32-E72D297353CC}">
                <c16:uniqueId val="{0000000F-87EE-47A8-B689-472470701D8D}"/>
              </c:ext>
            </c:extLst>
          </c:dPt>
          <c:dPt>
            <c:idx val="16"/>
            <c:bubble3D val="0"/>
            <c:extLst>
              <c:ext xmlns:c16="http://schemas.microsoft.com/office/drawing/2014/chart" uri="{C3380CC4-5D6E-409C-BE32-E72D297353CC}">
                <c16:uniqueId val="{00000010-87EE-47A8-B689-472470701D8D}"/>
              </c:ext>
            </c:extLst>
          </c:dPt>
          <c:dLbls>
            <c:spPr>
              <a:noFill/>
              <a:ln w="25448">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1"/>
            <c:showSerName val="0"/>
            <c:showPercent val="1"/>
            <c:showBubbleSize val="0"/>
            <c:showLeaderLines val="1"/>
            <c:leaderLines>
              <c:spPr>
                <a:ln w="954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PROG!$A$3:$A$19</c:f>
              <c:strCache>
                <c:ptCount val="17"/>
                <c:pt idx="0">
                  <c:v>PREDSTAVNIČKO TIJELO-OPĆINSKO VIJEĆE</c:v>
                </c:pt>
                <c:pt idx="1">
                  <c:v>IZVRŠNO TIJELO-OPĆINSKI NAČELNIK</c:v>
                </c:pt>
                <c:pt idx="2">
                  <c:v> MJESNA SAMOUPRAVA</c:v>
                </c:pt>
                <c:pt idx="3">
                  <c:v> PREDŠKOLSKI ODGOJ</c:v>
                </c:pt>
                <c:pt idx="4">
                  <c:v>ŠKOLSTVO</c:v>
                </c:pt>
                <c:pt idx="5">
                  <c:v> KULTURA</c:v>
                </c:pt>
                <c:pt idx="6">
                  <c:v>SPORT </c:v>
                </c:pt>
                <c:pt idx="7">
                  <c:v>SOCIJALNA SKRB I ZDRAVSTVENA ZAŠTITA</c:v>
                </c:pt>
                <c:pt idx="8">
                  <c:v> PROSTORNO PLANIRANJE</c:v>
                </c:pt>
                <c:pt idx="9">
                  <c:v> PROTUPOŽARNA ZAŠTITA I SPAŠAVANJE</c:v>
                </c:pt>
                <c:pt idx="10">
                  <c:v> JAVNI PRIJEVOZ</c:v>
                </c:pt>
                <c:pt idx="11">
                  <c:v> GOSPODARSTVO</c:v>
                </c:pt>
                <c:pt idx="12">
                  <c:v> ZAŠTITA OKOLIŠA</c:v>
                </c:pt>
                <c:pt idx="13">
                  <c:v> STRUČNE SLUŽBE OPĆINSKE UPRAVE </c:v>
                </c:pt>
                <c:pt idx="14">
                  <c:v>PROGRAM ODRŽAVANJA KOMUNALNE INFR.</c:v>
                </c:pt>
                <c:pt idx="15">
                  <c:v>GRADNJA KOMUNALNE, VODNE I JAVNE INFR.</c:v>
                </c:pt>
                <c:pt idx="16">
                  <c:v>ODRŽAVANJE IMOVINE I INVESTICIJE U DUG.IMOVINU</c:v>
                </c:pt>
              </c:strCache>
            </c:strRef>
          </c:cat>
          <c:val>
            <c:numRef>
              <c:f>PROG!$B$3:$B$19</c:f>
            </c:numRef>
          </c:val>
          <c:extLst>
            <c:ext xmlns:c16="http://schemas.microsoft.com/office/drawing/2014/chart" uri="{C3380CC4-5D6E-409C-BE32-E72D297353CC}">
              <c16:uniqueId val="{00000011-87EE-47A8-B689-472470701D8D}"/>
            </c:ext>
          </c:extLst>
        </c:ser>
        <c:ser>
          <c:idx val="1"/>
          <c:order val="1"/>
          <c:dPt>
            <c:idx val="0"/>
            <c:bubble3D val="0"/>
            <c:spPr>
              <a:solidFill>
                <a:srgbClr val="4F81BD"/>
              </a:solidFill>
              <a:ln w="25448">
                <a:solidFill>
                  <a:srgbClr val="FFFFFF"/>
                </a:solidFill>
                <a:prstDash val="solid"/>
              </a:ln>
            </c:spPr>
            <c:extLst>
              <c:ext xmlns:c16="http://schemas.microsoft.com/office/drawing/2014/chart" uri="{C3380CC4-5D6E-409C-BE32-E72D297353CC}">
                <c16:uniqueId val="{00000012-87EE-47A8-B689-472470701D8D}"/>
              </c:ext>
            </c:extLst>
          </c:dPt>
          <c:dPt>
            <c:idx val="1"/>
            <c:bubble3D val="0"/>
            <c:spPr>
              <a:solidFill>
                <a:srgbClr val="C0504D"/>
              </a:solidFill>
              <a:ln w="25448">
                <a:solidFill>
                  <a:srgbClr val="FFFFFF"/>
                </a:solidFill>
                <a:prstDash val="solid"/>
              </a:ln>
            </c:spPr>
            <c:extLst>
              <c:ext xmlns:c16="http://schemas.microsoft.com/office/drawing/2014/chart" uri="{C3380CC4-5D6E-409C-BE32-E72D297353CC}">
                <c16:uniqueId val="{00000013-87EE-47A8-B689-472470701D8D}"/>
              </c:ext>
            </c:extLst>
          </c:dPt>
          <c:dPt>
            <c:idx val="2"/>
            <c:bubble3D val="0"/>
            <c:spPr>
              <a:solidFill>
                <a:srgbClr val="9BBB59"/>
              </a:solidFill>
              <a:ln w="25448">
                <a:solidFill>
                  <a:srgbClr val="FFFFFF"/>
                </a:solidFill>
                <a:prstDash val="solid"/>
              </a:ln>
            </c:spPr>
            <c:extLst>
              <c:ext xmlns:c16="http://schemas.microsoft.com/office/drawing/2014/chart" uri="{C3380CC4-5D6E-409C-BE32-E72D297353CC}">
                <c16:uniqueId val="{00000014-87EE-47A8-B689-472470701D8D}"/>
              </c:ext>
            </c:extLst>
          </c:dPt>
          <c:dPt>
            <c:idx val="3"/>
            <c:bubble3D val="0"/>
            <c:spPr>
              <a:solidFill>
                <a:srgbClr val="8064A2"/>
              </a:solidFill>
              <a:ln w="25448">
                <a:solidFill>
                  <a:srgbClr val="FFFFFF"/>
                </a:solidFill>
                <a:prstDash val="solid"/>
              </a:ln>
            </c:spPr>
            <c:extLst>
              <c:ext xmlns:c16="http://schemas.microsoft.com/office/drawing/2014/chart" uri="{C3380CC4-5D6E-409C-BE32-E72D297353CC}">
                <c16:uniqueId val="{00000015-87EE-47A8-B689-472470701D8D}"/>
              </c:ext>
            </c:extLst>
          </c:dPt>
          <c:dPt>
            <c:idx val="4"/>
            <c:bubble3D val="0"/>
            <c:spPr>
              <a:solidFill>
                <a:srgbClr val="4BACC6"/>
              </a:solidFill>
              <a:ln w="25448">
                <a:solidFill>
                  <a:srgbClr val="FFFFFF"/>
                </a:solidFill>
                <a:prstDash val="solid"/>
              </a:ln>
            </c:spPr>
            <c:extLst>
              <c:ext xmlns:c16="http://schemas.microsoft.com/office/drawing/2014/chart" uri="{C3380CC4-5D6E-409C-BE32-E72D297353CC}">
                <c16:uniqueId val="{00000016-87EE-47A8-B689-472470701D8D}"/>
              </c:ext>
            </c:extLst>
          </c:dPt>
          <c:dPt>
            <c:idx val="5"/>
            <c:bubble3D val="0"/>
            <c:spPr>
              <a:solidFill>
                <a:srgbClr val="F79646"/>
              </a:solidFill>
              <a:ln w="25448">
                <a:solidFill>
                  <a:srgbClr val="FFFFFF"/>
                </a:solidFill>
                <a:prstDash val="solid"/>
              </a:ln>
            </c:spPr>
            <c:extLst>
              <c:ext xmlns:c16="http://schemas.microsoft.com/office/drawing/2014/chart" uri="{C3380CC4-5D6E-409C-BE32-E72D297353CC}">
                <c16:uniqueId val="{00000017-87EE-47A8-B689-472470701D8D}"/>
              </c:ext>
            </c:extLst>
          </c:dPt>
          <c:dPt>
            <c:idx val="6"/>
            <c:bubble3D val="0"/>
            <c:spPr>
              <a:solidFill>
                <a:schemeClr val="accent1">
                  <a:lumMod val="60000"/>
                </a:schemeClr>
              </a:solidFill>
              <a:ln w="25448">
                <a:solidFill>
                  <a:schemeClr val="lt1"/>
                </a:solidFill>
              </a:ln>
              <a:effectLst/>
              <a:sp3d contourW="25400">
                <a:contourClr>
                  <a:schemeClr val="lt1"/>
                </a:contourClr>
              </a:sp3d>
            </c:spPr>
            <c:extLst>
              <c:ext xmlns:c16="http://schemas.microsoft.com/office/drawing/2014/chart" uri="{C3380CC4-5D6E-409C-BE32-E72D297353CC}">
                <c16:uniqueId val="{00000018-87EE-47A8-B689-472470701D8D}"/>
              </c:ext>
            </c:extLst>
          </c:dPt>
          <c:dPt>
            <c:idx val="7"/>
            <c:bubble3D val="0"/>
            <c:spPr>
              <a:solidFill>
                <a:schemeClr val="accent2">
                  <a:lumMod val="60000"/>
                </a:schemeClr>
              </a:solidFill>
              <a:ln w="25448">
                <a:solidFill>
                  <a:schemeClr val="lt1"/>
                </a:solidFill>
              </a:ln>
              <a:effectLst/>
              <a:sp3d contourW="25400">
                <a:contourClr>
                  <a:schemeClr val="lt1"/>
                </a:contourClr>
              </a:sp3d>
            </c:spPr>
            <c:extLst>
              <c:ext xmlns:c16="http://schemas.microsoft.com/office/drawing/2014/chart" uri="{C3380CC4-5D6E-409C-BE32-E72D297353CC}">
                <c16:uniqueId val="{00000019-87EE-47A8-B689-472470701D8D}"/>
              </c:ext>
            </c:extLst>
          </c:dPt>
          <c:dPt>
            <c:idx val="8"/>
            <c:bubble3D val="0"/>
            <c:spPr>
              <a:solidFill>
                <a:schemeClr val="accent3">
                  <a:lumMod val="60000"/>
                </a:schemeClr>
              </a:solidFill>
              <a:ln w="25448">
                <a:solidFill>
                  <a:schemeClr val="lt1"/>
                </a:solidFill>
              </a:ln>
              <a:effectLst/>
              <a:sp3d contourW="25400">
                <a:contourClr>
                  <a:schemeClr val="lt1"/>
                </a:contourClr>
              </a:sp3d>
            </c:spPr>
            <c:extLst>
              <c:ext xmlns:c16="http://schemas.microsoft.com/office/drawing/2014/chart" uri="{C3380CC4-5D6E-409C-BE32-E72D297353CC}">
                <c16:uniqueId val="{0000001A-87EE-47A8-B689-472470701D8D}"/>
              </c:ext>
            </c:extLst>
          </c:dPt>
          <c:dPt>
            <c:idx val="9"/>
            <c:bubble3D val="0"/>
            <c:spPr>
              <a:solidFill>
                <a:schemeClr val="accent4">
                  <a:lumMod val="60000"/>
                </a:schemeClr>
              </a:solidFill>
              <a:ln w="25448">
                <a:solidFill>
                  <a:schemeClr val="lt1"/>
                </a:solidFill>
              </a:ln>
              <a:effectLst/>
              <a:sp3d contourW="25400">
                <a:contourClr>
                  <a:schemeClr val="lt1"/>
                </a:contourClr>
              </a:sp3d>
            </c:spPr>
            <c:extLst>
              <c:ext xmlns:c16="http://schemas.microsoft.com/office/drawing/2014/chart" uri="{C3380CC4-5D6E-409C-BE32-E72D297353CC}">
                <c16:uniqueId val="{0000001B-87EE-47A8-B689-472470701D8D}"/>
              </c:ext>
            </c:extLst>
          </c:dPt>
          <c:dPt>
            <c:idx val="10"/>
            <c:bubble3D val="0"/>
            <c:spPr>
              <a:solidFill>
                <a:schemeClr val="accent5">
                  <a:lumMod val="60000"/>
                </a:schemeClr>
              </a:solidFill>
              <a:ln w="25448">
                <a:solidFill>
                  <a:schemeClr val="lt1"/>
                </a:solidFill>
              </a:ln>
              <a:effectLst/>
              <a:sp3d contourW="25400">
                <a:contourClr>
                  <a:schemeClr val="lt1"/>
                </a:contourClr>
              </a:sp3d>
            </c:spPr>
            <c:extLst>
              <c:ext xmlns:c16="http://schemas.microsoft.com/office/drawing/2014/chart" uri="{C3380CC4-5D6E-409C-BE32-E72D297353CC}">
                <c16:uniqueId val="{0000001C-87EE-47A8-B689-472470701D8D}"/>
              </c:ext>
            </c:extLst>
          </c:dPt>
          <c:dPt>
            <c:idx val="11"/>
            <c:bubble3D val="0"/>
            <c:spPr>
              <a:solidFill>
                <a:schemeClr val="accent6">
                  <a:lumMod val="60000"/>
                </a:schemeClr>
              </a:solidFill>
              <a:ln w="25448">
                <a:solidFill>
                  <a:schemeClr val="lt1"/>
                </a:solidFill>
              </a:ln>
              <a:effectLst/>
              <a:sp3d contourW="25400">
                <a:contourClr>
                  <a:schemeClr val="lt1"/>
                </a:contourClr>
              </a:sp3d>
            </c:spPr>
            <c:extLst>
              <c:ext xmlns:c16="http://schemas.microsoft.com/office/drawing/2014/chart" uri="{C3380CC4-5D6E-409C-BE32-E72D297353CC}">
                <c16:uniqueId val="{0000001D-87EE-47A8-B689-472470701D8D}"/>
              </c:ext>
            </c:extLst>
          </c:dPt>
          <c:dPt>
            <c:idx val="12"/>
            <c:bubble3D val="0"/>
            <c:spPr>
              <a:solidFill>
                <a:schemeClr val="accent1">
                  <a:lumMod val="80000"/>
                  <a:lumOff val="20000"/>
                </a:schemeClr>
              </a:solidFill>
              <a:ln w="25448">
                <a:solidFill>
                  <a:schemeClr val="lt1"/>
                </a:solidFill>
              </a:ln>
              <a:effectLst/>
              <a:sp3d contourW="25400">
                <a:contourClr>
                  <a:schemeClr val="lt1"/>
                </a:contourClr>
              </a:sp3d>
            </c:spPr>
            <c:extLst>
              <c:ext xmlns:c16="http://schemas.microsoft.com/office/drawing/2014/chart" uri="{C3380CC4-5D6E-409C-BE32-E72D297353CC}">
                <c16:uniqueId val="{0000001E-87EE-47A8-B689-472470701D8D}"/>
              </c:ext>
            </c:extLst>
          </c:dPt>
          <c:dPt>
            <c:idx val="13"/>
            <c:bubble3D val="0"/>
            <c:spPr>
              <a:solidFill>
                <a:schemeClr val="accent2">
                  <a:lumMod val="80000"/>
                  <a:lumOff val="20000"/>
                </a:schemeClr>
              </a:solidFill>
              <a:ln w="25448">
                <a:solidFill>
                  <a:schemeClr val="lt1"/>
                </a:solidFill>
              </a:ln>
              <a:effectLst/>
              <a:sp3d contourW="25400">
                <a:contourClr>
                  <a:schemeClr val="lt1"/>
                </a:contourClr>
              </a:sp3d>
            </c:spPr>
            <c:extLst>
              <c:ext xmlns:c16="http://schemas.microsoft.com/office/drawing/2014/chart" uri="{C3380CC4-5D6E-409C-BE32-E72D297353CC}">
                <c16:uniqueId val="{0000001F-87EE-47A8-B689-472470701D8D}"/>
              </c:ext>
            </c:extLst>
          </c:dPt>
          <c:dPt>
            <c:idx val="14"/>
            <c:bubble3D val="0"/>
            <c:spPr>
              <a:solidFill>
                <a:schemeClr val="accent3">
                  <a:lumMod val="80000"/>
                  <a:lumOff val="20000"/>
                </a:schemeClr>
              </a:solidFill>
              <a:ln w="25448">
                <a:solidFill>
                  <a:schemeClr val="lt1"/>
                </a:solidFill>
              </a:ln>
              <a:effectLst/>
              <a:sp3d contourW="25400">
                <a:contourClr>
                  <a:schemeClr val="lt1"/>
                </a:contourClr>
              </a:sp3d>
            </c:spPr>
            <c:extLst>
              <c:ext xmlns:c16="http://schemas.microsoft.com/office/drawing/2014/chart" uri="{C3380CC4-5D6E-409C-BE32-E72D297353CC}">
                <c16:uniqueId val="{00000020-87EE-47A8-B689-472470701D8D}"/>
              </c:ext>
            </c:extLst>
          </c:dPt>
          <c:dPt>
            <c:idx val="15"/>
            <c:bubble3D val="0"/>
            <c:spPr>
              <a:solidFill>
                <a:schemeClr val="accent4">
                  <a:lumMod val="80000"/>
                  <a:lumOff val="20000"/>
                </a:schemeClr>
              </a:solidFill>
              <a:ln w="25448">
                <a:solidFill>
                  <a:schemeClr val="lt1"/>
                </a:solidFill>
              </a:ln>
              <a:effectLst/>
              <a:sp3d contourW="25400">
                <a:contourClr>
                  <a:schemeClr val="lt1"/>
                </a:contourClr>
              </a:sp3d>
            </c:spPr>
            <c:extLst>
              <c:ext xmlns:c16="http://schemas.microsoft.com/office/drawing/2014/chart" uri="{C3380CC4-5D6E-409C-BE32-E72D297353CC}">
                <c16:uniqueId val="{00000021-87EE-47A8-B689-472470701D8D}"/>
              </c:ext>
            </c:extLst>
          </c:dPt>
          <c:dPt>
            <c:idx val="16"/>
            <c:bubble3D val="0"/>
            <c:spPr>
              <a:solidFill>
                <a:schemeClr val="accent5">
                  <a:lumMod val="80000"/>
                  <a:lumOff val="20000"/>
                </a:schemeClr>
              </a:solidFill>
              <a:ln w="25448">
                <a:solidFill>
                  <a:schemeClr val="lt1"/>
                </a:solidFill>
              </a:ln>
              <a:effectLst/>
              <a:sp3d contourW="25400">
                <a:contourClr>
                  <a:schemeClr val="lt1"/>
                </a:contourClr>
              </a:sp3d>
            </c:spPr>
            <c:extLst>
              <c:ext xmlns:c16="http://schemas.microsoft.com/office/drawing/2014/chart" uri="{C3380CC4-5D6E-409C-BE32-E72D297353CC}">
                <c16:uniqueId val="{00000022-87EE-47A8-B689-472470701D8D}"/>
              </c:ext>
            </c:extLst>
          </c:dPt>
          <c:dLbls>
            <c:dLbl>
              <c:idx val="2"/>
              <c:layout>
                <c:manualLayout>
                  <c:x val="0.18217170183103967"/>
                  <c:y val="-3.17054755910613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4-87EE-47A8-B689-472470701D8D}"/>
                </c:ext>
              </c:extLst>
            </c:dLbl>
            <c:dLbl>
              <c:idx val="3"/>
              <c:layout>
                <c:manualLayout>
                  <c:x val="2.408934788195986E-2"/>
                  <c:y val="6.9277054653882548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87EE-47A8-B689-472470701D8D}"/>
                </c:ext>
              </c:extLst>
            </c:dLbl>
            <c:dLbl>
              <c:idx val="5"/>
              <c:layout>
                <c:manualLayout>
                  <c:x val="7.7916410300344505E-2"/>
                  <c:y val="-3.983175572441199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87EE-47A8-B689-472470701D8D}"/>
                </c:ext>
              </c:extLst>
            </c:dLbl>
            <c:dLbl>
              <c:idx val="6"/>
              <c:layout>
                <c:manualLayout>
                  <c:x val="1.9558219169191388E-2"/>
                  <c:y val="-0.103903593683442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87EE-47A8-B689-472470701D8D}"/>
                </c:ext>
              </c:extLst>
            </c:dLbl>
            <c:dLbl>
              <c:idx val="10"/>
              <c:layout>
                <c:manualLayout>
                  <c:x val="-2.683376558642336E-2"/>
                  <c:y val="5.49278278990636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C-87EE-47A8-B689-472470701D8D}"/>
                </c:ext>
              </c:extLst>
            </c:dLbl>
            <c:dLbl>
              <c:idx val="11"/>
              <c:layout>
                <c:manualLayout>
                  <c:x val="-7.4035867920070941E-2"/>
                  <c:y val="5.1309402651199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87EE-47A8-B689-472470701D8D}"/>
                </c:ext>
              </c:extLst>
            </c:dLbl>
            <c:dLbl>
              <c:idx val="12"/>
              <c:layout>
                <c:manualLayout>
                  <c:x val="-7.4085132922741215E-2"/>
                  <c:y val="1.74987915667167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E-87EE-47A8-B689-472470701D8D}"/>
                </c:ext>
              </c:extLst>
            </c:dLbl>
            <c:dLbl>
              <c:idx val="13"/>
              <c:layout>
                <c:manualLayout>
                  <c:x val="-1.3054494425820596E-2"/>
                  <c:y val="-8.24874300351010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87EE-47A8-B689-472470701D8D}"/>
                </c:ext>
              </c:extLst>
            </c:dLbl>
            <c:dLbl>
              <c:idx val="14"/>
              <c:layout>
                <c:manualLayout>
                  <c:x val="8.7231750734128533E-2"/>
                  <c:y val="-0.138453928198734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0-87EE-47A8-B689-472470701D8D}"/>
                </c:ext>
              </c:extLst>
            </c:dLbl>
            <c:dLbl>
              <c:idx val="15"/>
              <c:layout>
                <c:manualLayout>
                  <c:x val="0.18366713442997842"/>
                  <c:y val="-0.1688255835490443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87EE-47A8-B689-472470701D8D}"/>
                </c:ext>
              </c:extLst>
            </c:dLbl>
            <c:numFmt formatCode="0.00%" sourceLinked="0"/>
            <c:spPr>
              <a:noFill/>
              <a:ln w="25448">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1"/>
            <c:showSerName val="0"/>
            <c:showPercent val="1"/>
            <c:showBubbleSize val="0"/>
            <c:showLeaderLines val="1"/>
            <c:leaderLines>
              <c:spPr>
                <a:ln w="954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PROG!$A$3:$A$19</c:f>
              <c:strCache>
                <c:ptCount val="17"/>
                <c:pt idx="0">
                  <c:v>PREDSTAVNIČKO TIJELO-OPĆINSKO VIJEĆE</c:v>
                </c:pt>
                <c:pt idx="1">
                  <c:v>IZVRŠNO TIJELO-OPĆINSKI NAČELNIK</c:v>
                </c:pt>
                <c:pt idx="2">
                  <c:v> MJESNA SAMOUPRAVA</c:v>
                </c:pt>
                <c:pt idx="3">
                  <c:v> PREDŠKOLSKI ODGOJ</c:v>
                </c:pt>
                <c:pt idx="4">
                  <c:v>ŠKOLSTVO</c:v>
                </c:pt>
                <c:pt idx="5">
                  <c:v> KULTURA</c:v>
                </c:pt>
                <c:pt idx="6">
                  <c:v>SPORT </c:v>
                </c:pt>
                <c:pt idx="7">
                  <c:v>SOCIJALNA SKRB I ZDRAVSTVENA ZAŠTITA</c:v>
                </c:pt>
                <c:pt idx="8">
                  <c:v> PROSTORNO PLANIRANJE</c:v>
                </c:pt>
                <c:pt idx="9">
                  <c:v> PROTUPOŽARNA ZAŠTITA I SPAŠAVANJE</c:v>
                </c:pt>
                <c:pt idx="10">
                  <c:v> JAVNI PRIJEVOZ</c:v>
                </c:pt>
                <c:pt idx="11">
                  <c:v> GOSPODARSTVO</c:v>
                </c:pt>
                <c:pt idx="12">
                  <c:v> ZAŠTITA OKOLIŠA</c:v>
                </c:pt>
                <c:pt idx="13">
                  <c:v> STRUČNE SLUŽBE OPĆINSKE UPRAVE </c:v>
                </c:pt>
                <c:pt idx="14">
                  <c:v>PROGRAM ODRŽAVANJA KOMUNALNE INFR.</c:v>
                </c:pt>
                <c:pt idx="15">
                  <c:v>GRADNJA KOMUNALNE, VODNE I JAVNE INFR.</c:v>
                </c:pt>
                <c:pt idx="16">
                  <c:v>ODRŽAVANJE IMOVINE I INVESTICIJE U DUG.IMOVINU</c:v>
                </c:pt>
              </c:strCache>
            </c:strRef>
          </c:cat>
          <c:val>
            <c:numRef>
              <c:f>PROG!$C$3:$C$19</c:f>
              <c:numCache>
                <c:formatCode>#,##0</c:formatCode>
                <c:ptCount val="17"/>
                <c:pt idx="0">
                  <c:v>1109160</c:v>
                </c:pt>
                <c:pt idx="1">
                  <c:v>1039120</c:v>
                </c:pt>
                <c:pt idx="2">
                  <c:v>382000</c:v>
                </c:pt>
                <c:pt idx="3">
                  <c:v>12202600</c:v>
                </c:pt>
                <c:pt idx="4">
                  <c:v>1597700</c:v>
                </c:pt>
                <c:pt idx="5">
                  <c:v>2127740</c:v>
                </c:pt>
                <c:pt idx="6">
                  <c:v>1687000</c:v>
                </c:pt>
                <c:pt idx="7">
                  <c:v>3249700</c:v>
                </c:pt>
                <c:pt idx="8">
                  <c:v>652500</c:v>
                </c:pt>
                <c:pt idx="9">
                  <c:v>2519345</c:v>
                </c:pt>
                <c:pt idx="10">
                  <c:v>3950000</c:v>
                </c:pt>
                <c:pt idx="11">
                  <c:v>870000</c:v>
                </c:pt>
                <c:pt idx="12">
                  <c:v>10425000</c:v>
                </c:pt>
                <c:pt idx="13">
                  <c:v>5294965</c:v>
                </c:pt>
                <c:pt idx="14">
                  <c:v>5955000</c:v>
                </c:pt>
                <c:pt idx="15">
                  <c:v>25570000</c:v>
                </c:pt>
                <c:pt idx="16">
                  <c:v>10727000</c:v>
                </c:pt>
              </c:numCache>
            </c:numRef>
          </c:val>
          <c:extLst>
            <c:ext xmlns:c16="http://schemas.microsoft.com/office/drawing/2014/chart" uri="{C3380CC4-5D6E-409C-BE32-E72D297353CC}">
              <c16:uniqueId val="{00000023-87EE-47A8-B689-472470701D8D}"/>
            </c:ext>
          </c:extLst>
        </c:ser>
        <c:dLbls>
          <c:showLegendKey val="0"/>
          <c:showVal val="0"/>
          <c:showCatName val="0"/>
          <c:showSerName val="0"/>
          <c:showPercent val="0"/>
          <c:showBubbleSize val="0"/>
          <c:showLeaderLines val="1"/>
        </c:dLbls>
      </c:pie3DChart>
      <c:spPr>
        <a:noFill/>
        <a:ln w="25448">
          <a:noFill/>
        </a:ln>
      </c:spPr>
    </c:plotArea>
    <c:plotVisOnly val="1"/>
    <c:dispBlanksAs val="gap"/>
    <c:showDLblsOverMax val="0"/>
  </c:chart>
  <c:spPr>
    <a:solidFill>
      <a:schemeClr val="bg1"/>
    </a:solidFill>
    <a:ln w="9543"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EACC-98D2-4F42-8ED4-81FB0CA2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9452</Words>
  <Characters>53883</Characters>
  <Application>Microsoft Office Word</Application>
  <DocSecurity>0</DocSecurity>
  <Lines>449</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go</Company>
  <LinksUpToDate>false</LinksUpToDate>
  <CharactersWithSpaces>63209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cp:lastModifiedBy>korisnik</cp:lastModifiedBy>
  <cp:revision>5</cp:revision>
  <cp:lastPrinted>2020-11-10T09:49:00Z</cp:lastPrinted>
  <dcterms:created xsi:type="dcterms:W3CDTF">2020-11-16T07:19:00Z</dcterms:created>
  <dcterms:modified xsi:type="dcterms:W3CDTF">2020-12-16T12:14:00Z</dcterms:modified>
</cp:coreProperties>
</file>