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6" w:rsidRPr="006B6E74" w:rsidRDefault="00E63D05" w:rsidP="00BB5B26">
      <w:pPr>
        <w:jc w:val="both"/>
        <w:rPr>
          <w:rFonts w:ascii="Calibri" w:hAnsi="Calibri" w:cs="Calibri"/>
          <w:sz w:val="24"/>
          <w:szCs w:val="24"/>
        </w:rPr>
      </w:pPr>
      <w:r w:rsidRPr="006B6E74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6B6E74">
        <w:rPr>
          <w:rFonts w:ascii="Calibri" w:hAnsi="Calibri" w:cs="Calibri"/>
          <w:sz w:val="24"/>
          <w:szCs w:val="24"/>
        </w:rPr>
        <w:t>temelju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članka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43. </w:t>
      </w:r>
      <w:proofErr w:type="spellStart"/>
      <w:r w:rsidRPr="006B6E74">
        <w:rPr>
          <w:rFonts w:ascii="Calibri" w:hAnsi="Calibri" w:cs="Calibri"/>
          <w:sz w:val="24"/>
          <w:szCs w:val="24"/>
        </w:rPr>
        <w:t>Statuta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Matulji („</w:t>
      </w:r>
      <w:proofErr w:type="spellStart"/>
      <w:r w:rsidRPr="006B6E74">
        <w:rPr>
          <w:rFonts w:ascii="Calibri" w:hAnsi="Calibri" w:cs="Calibri"/>
          <w:sz w:val="24"/>
          <w:szCs w:val="24"/>
        </w:rPr>
        <w:t>Službene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novine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Primorsko-goranske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županije</w:t>
      </w:r>
      <w:proofErr w:type="spellEnd"/>
      <w:proofErr w:type="gramStart"/>
      <w:r w:rsidRPr="006B6E74">
        <w:rPr>
          <w:rFonts w:ascii="Calibri" w:hAnsi="Calibri" w:cs="Calibri"/>
          <w:sz w:val="24"/>
          <w:szCs w:val="24"/>
        </w:rPr>
        <w:t xml:space="preserve">“ </w:t>
      </w:r>
      <w:proofErr w:type="spellStart"/>
      <w:r w:rsidRPr="006B6E74">
        <w:rPr>
          <w:rFonts w:ascii="Calibri" w:hAnsi="Calibri" w:cs="Calibri"/>
          <w:sz w:val="24"/>
          <w:szCs w:val="24"/>
        </w:rPr>
        <w:t>broj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26/09, 38/09, 8/13, 17/14, 29/14, 4/15 - </w:t>
      </w:r>
      <w:proofErr w:type="spellStart"/>
      <w:r w:rsidRPr="006B6E74">
        <w:rPr>
          <w:rFonts w:ascii="Calibri" w:hAnsi="Calibri" w:cs="Calibri"/>
          <w:sz w:val="24"/>
          <w:szCs w:val="24"/>
        </w:rPr>
        <w:t>pročišćeni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tekst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, 39/15 </w:t>
      </w:r>
      <w:proofErr w:type="spellStart"/>
      <w:r w:rsidRPr="006B6E74">
        <w:rPr>
          <w:rFonts w:ascii="Calibri" w:hAnsi="Calibri" w:cs="Calibri"/>
          <w:sz w:val="24"/>
          <w:szCs w:val="24"/>
        </w:rPr>
        <w:t>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7/18), </w:t>
      </w:r>
      <w:proofErr w:type="spellStart"/>
      <w:r w:rsidRPr="006B6E74">
        <w:rPr>
          <w:rFonts w:ascii="Calibri" w:hAnsi="Calibri" w:cs="Calibri"/>
          <w:sz w:val="24"/>
          <w:szCs w:val="24"/>
        </w:rPr>
        <w:t>Općinski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načelnik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Matulji, dana </w:t>
      </w:r>
      <w:r w:rsidR="00196F98">
        <w:rPr>
          <w:rFonts w:ascii="Calibri" w:hAnsi="Calibri" w:cs="Calibri"/>
          <w:sz w:val="24"/>
          <w:szCs w:val="24"/>
        </w:rPr>
        <w:t>22.</w:t>
      </w:r>
      <w:r w:rsidRPr="006B6E7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6B6E74">
        <w:rPr>
          <w:rFonts w:ascii="Calibri" w:hAnsi="Calibri" w:cs="Calibri"/>
          <w:sz w:val="24"/>
          <w:szCs w:val="24"/>
        </w:rPr>
        <w:t>.20</w:t>
      </w:r>
      <w:r>
        <w:rPr>
          <w:rFonts w:ascii="Calibri" w:hAnsi="Calibri" w:cs="Calibri"/>
          <w:sz w:val="24"/>
          <w:szCs w:val="24"/>
        </w:rPr>
        <w:t>20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donosi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slijedeću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</w:p>
    <w:p w:rsidR="004368FC" w:rsidRPr="006B6E74" w:rsidRDefault="004368FC" w:rsidP="00BB5B26">
      <w:pPr>
        <w:jc w:val="both"/>
        <w:rPr>
          <w:rFonts w:ascii="Calibri" w:hAnsi="Calibri" w:cs="Calibri"/>
          <w:sz w:val="24"/>
          <w:szCs w:val="24"/>
        </w:rPr>
      </w:pPr>
    </w:p>
    <w:p w:rsidR="004368FC" w:rsidRDefault="004368FC" w:rsidP="00BB5B26">
      <w:pPr>
        <w:jc w:val="both"/>
        <w:rPr>
          <w:rFonts w:cs="Calibri"/>
          <w:color w:val="000000" w:themeColor="text1"/>
          <w:sz w:val="24"/>
          <w:szCs w:val="24"/>
          <w:lang w:val="hr-HR"/>
        </w:rPr>
      </w:pP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ODLUKU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O SUFINANCIRANJU KAMATA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2020.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GODINU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 PODUZETNIKE S PODRUČJA OPĆINE MATULJI</w:t>
      </w: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POSEBNO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MLADE I ŽENE PODUZETNICE</w:t>
      </w: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uređuju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kriteriji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poduzetnicima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područja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posebno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ženama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okviru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planiranih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proračunskih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2020.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2.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Poduzetnikom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smislu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smatraju</w:t>
      </w:r>
      <w:proofErr w:type="spellEnd"/>
      <w:r>
        <w:rPr>
          <w:rFonts w:ascii="Calibri" w:hAnsi="Calibri" w:cs="Calibri"/>
          <w:sz w:val="24"/>
          <w:szCs w:val="24"/>
        </w:rPr>
        <w:t xml:space="preserve"> se mala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obrti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smatra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svaka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do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uključujući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je 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trenutku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podnošenja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navršila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daljnjem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tekstu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3.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 </w:t>
      </w:r>
      <w:proofErr w:type="spellStart"/>
      <w:r>
        <w:rPr>
          <w:rFonts w:ascii="Calibri" w:hAnsi="Calibri" w:cs="Calibri"/>
          <w:sz w:val="24"/>
          <w:szCs w:val="24"/>
        </w:rPr>
        <w:t>prijavljenim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prethodnoj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pozitivno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da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Općini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Republici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Hrvatskoj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zaposlenicima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korisnici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kojeg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ulažu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Matulji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utrošen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kupnju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proširenje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gospodarskih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nabavu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pojedinih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modernizaciju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očuvanje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mjesta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funkciji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unapređenje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izuzetkom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kupovine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udjela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trgovačkim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kockarnice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igračnice</w:t>
      </w:r>
      <w:proofErr w:type="spellEnd"/>
      <w:r>
        <w:rPr>
          <w:rFonts w:ascii="Calibri" w:hAnsi="Calibri" w:cs="Calibri"/>
          <w:sz w:val="24"/>
          <w:szCs w:val="24"/>
        </w:rPr>
        <w:t>, automat-</w:t>
      </w:r>
      <w:proofErr w:type="spellStart"/>
      <w:r>
        <w:rPr>
          <w:rFonts w:ascii="Calibri" w:hAnsi="Calibri" w:cs="Calibri"/>
          <w:sz w:val="24"/>
          <w:szCs w:val="24"/>
        </w:rPr>
        <w:t>klubove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kladionice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slične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vrijednosnice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ekološki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neprihvatljivih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kupovinu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građevinskog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zemljišta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stambenih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iznajmljivanja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tržištu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refundaciju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uloženih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se u </w:t>
      </w:r>
      <w:proofErr w:type="spellStart"/>
      <w:r>
        <w:rPr>
          <w:rFonts w:ascii="Calibri" w:hAnsi="Calibri" w:cs="Calibri"/>
          <w:sz w:val="24"/>
          <w:szCs w:val="24"/>
        </w:rPr>
        <w:t>svojoj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osnovnoj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budući</w:t>
      </w:r>
      <w:proofErr w:type="spellEnd"/>
      <w:r>
        <w:rPr>
          <w:rFonts w:ascii="Calibri" w:hAnsi="Calibri" w:cs="Calibri"/>
          <w:sz w:val="24"/>
          <w:szCs w:val="24"/>
        </w:rPr>
        <w:t xml:space="preserve"> da se u </w:t>
      </w:r>
      <w:proofErr w:type="spellStart"/>
      <w:r>
        <w:rPr>
          <w:rFonts w:ascii="Calibri" w:hAnsi="Calibri" w:cs="Calibri"/>
          <w:sz w:val="24"/>
          <w:szCs w:val="24"/>
        </w:rPr>
        <w:t>odnosu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posebni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poticaji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subvencioniraju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otvoren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stečaj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postupku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likvidacije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4.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poduzetnike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Općina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dodatno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20%.</w:t>
      </w:r>
    </w:p>
    <w:p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5.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Zahtjevi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prikupljaju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donijetog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skladu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objavljenog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</w:t>
      </w:r>
    </w:p>
    <w:p w:rsidR="00BB5B26" w:rsidRPr="00F06065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Obavijest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raspisanom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pozivu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objavljuje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se u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Novom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listu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definirat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rok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koju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6.</w:t>
      </w:r>
    </w:p>
    <w:p w:rsidR="00692F1B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Podnesene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razmatra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ocjenjuje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Povjerenstvo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kamata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sastavu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od </w:t>
      </w:r>
      <w:r w:rsidR="00F06065" w:rsidRPr="00F06065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člana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imenovano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strane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daljnjem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tekstu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pripadajućim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Odluku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dodjeli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dopuštena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žalba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pokrenuti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7.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6.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međusobnim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obvezama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8.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5.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iste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dužni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Povjerenstvu</w:t>
      </w:r>
      <w:proofErr w:type="spellEnd"/>
      <w:r>
        <w:rPr>
          <w:rFonts w:ascii="Calibri" w:hAnsi="Calibri" w:cs="Calibri"/>
          <w:sz w:val="24"/>
          <w:szCs w:val="24"/>
        </w:rPr>
        <w:t xml:space="preserve">, u </w:t>
      </w:r>
      <w:proofErr w:type="spellStart"/>
      <w:r>
        <w:rPr>
          <w:rFonts w:ascii="Calibri" w:hAnsi="Calibri" w:cs="Calibri"/>
          <w:sz w:val="24"/>
          <w:szCs w:val="24"/>
        </w:rPr>
        <w:t>roku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dokumentaciju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izjava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obavljaju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trenutku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financijsko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izvješće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prethodnu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bilanca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račun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gubitka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dohodak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rješenje</w:t>
      </w:r>
      <w:proofErr w:type="spellEnd"/>
      <w:r>
        <w:rPr>
          <w:rFonts w:ascii="Calibri" w:hAnsi="Calibri" w:cs="Calibri"/>
          <w:sz w:val="24"/>
          <w:szCs w:val="24"/>
        </w:rPr>
        <w:t xml:space="preserve"> (s </w:t>
      </w:r>
      <w:proofErr w:type="spellStart"/>
      <w:r>
        <w:rPr>
          <w:rFonts w:ascii="Calibri" w:hAnsi="Calibri" w:cs="Calibri"/>
          <w:sz w:val="24"/>
          <w:szCs w:val="24"/>
        </w:rPr>
        <w:t>dokazom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predaji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),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stanju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vidljivo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izvršio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dospjele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doprinose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mirovinsko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zdravstveno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osiguranje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starijem</w:t>
      </w:r>
      <w:proofErr w:type="spellEnd"/>
      <w:r>
        <w:rPr>
          <w:rFonts w:ascii="Calibri" w:hAnsi="Calibri" w:cs="Calibri"/>
          <w:sz w:val="24"/>
          <w:szCs w:val="24"/>
        </w:rPr>
        <w:t xml:space="preserve"> od 30 dana)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banke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obračunatim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plaćenim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redovnim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razdoblje</w:t>
      </w:r>
      <w:proofErr w:type="spellEnd"/>
      <w:r>
        <w:rPr>
          <w:rFonts w:ascii="Calibri" w:hAnsi="Calibri" w:cs="Calibri"/>
          <w:sz w:val="24"/>
          <w:szCs w:val="24"/>
        </w:rPr>
        <w:t xml:space="preserve"> od 01.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siječnja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2020. do 31.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listopada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2020. (</w:t>
      </w:r>
      <w:proofErr w:type="gramStart"/>
      <w:r>
        <w:rPr>
          <w:rFonts w:ascii="Calibri" w:hAnsi="Calibri" w:cs="Calibri"/>
          <w:sz w:val="24"/>
          <w:szCs w:val="24"/>
        </w:rPr>
        <w:t>u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) -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</w:t>
      </w:r>
      <w:r w:rsidRPr="006B6E74">
        <w:rPr>
          <w:rFonts w:ascii="Calibri" w:hAnsi="Calibri" w:cs="Calibri"/>
          <w:sz w:val="24"/>
          <w:szCs w:val="24"/>
        </w:rPr>
        <w:t>otvrda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6B6E74">
        <w:rPr>
          <w:rFonts w:ascii="Calibri" w:hAnsi="Calibri" w:cs="Calibri"/>
          <w:sz w:val="24"/>
          <w:szCs w:val="24"/>
        </w:rPr>
        <w:t>smije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obuhvaćati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kamate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B6E74">
        <w:rPr>
          <w:rFonts w:ascii="Calibri" w:hAnsi="Calibri" w:cs="Calibri"/>
          <w:sz w:val="24"/>
          <w:szCs w:val="24"/>
        </w:rPr>
        <w:t>posljednjem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obračunskom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razdoblju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201</w:t>
      </w:r>
      <w:r w:rsidR="00467733">
        <w:rPr>
          <w:rFonts w:ascii="Calibri" w:hAnsi="Calibri" w:cs="Calibri"/>
          <w:sz w:val="24"/>
          <w:szCs w:val="24"/>
        </w:rPr>
        <w:t>9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proofErr w:type="gramEnd"/>
      <w:r w:rsidRPr="006B6E7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6E74">
        <w:rPr>
          <w:rFonts w:ascii="Calibri" w:hAnsi="Calibri" w:cs="Calibri"/>
          <w:sz w:val="24"/>
          <w:szCs w:val="24"/>
        </w:rPr>
        <w:t>koje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6B6E74">
        <w:rPr>
          <w:rFonts w:ascii="Calibri" w:hAnsi="Calibri" w:cs="Calibri"/>
          <w:sz w:val="24"/>
          <w:szCs w:val="24"/>
        </w:rPr>
        <w:t>poduzetnik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podmirio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20</w:t>
      </w:r>
      <w:r>
        <w:rPr>
          <w:rFonts w:ascii="Calibri" w:hAnsi="Calibri" w:cs="Calibri"/>
          <w:sz w:val="24"/>
          <w:szCs w:val="24"/>
        </w:rPr>
        <w:t>20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B6E74">
        <w:rPr>
          <w:rFonts w:ascii="Calibri" w:hAnsi="Calibri" w:cs="Calibri"/>
          <w:sz w:val="24"/>
          <w:szCs w:val="24"/>
        </w:rPr>
        <w:t>godini</w:t>
      </w:r>
      <w:proofErr w:type="spellEnd"/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kreditu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bankom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kratki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ishodovanje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 (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 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korištenim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potporama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male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vrijednosti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Obrazac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1.)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-</w:t>
      </w:r>
      <w:bookmarkStart w:id="0" w:name="_GoBack"/>
      <w:bookmarkEnd w:id="0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podnositelja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sredstva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uložena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Matulji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osobna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iskaznica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osnivača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vlasnika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– </w:t>
      </w: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dokazuje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članak</w:t>
      </w:r>
      <w:proofErr w:type="spellEnd"/>
      <w:r>
        <w:rPr>
          <w:rFonts w:ascii="Calibri" w:hAnsi="Calibri" w:cs="Calibri"/>
          <w:sz w:val="24"/>
          <w:szCs w:val="24"/>
        </w:rPr>
        <w:t xml:space="preserve"> 2.)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o OIB-u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 -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obrtnike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IBAN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9.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Nakon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provedenog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postupka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dužno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punom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Na </w:t>
      </w:r>
      <w:proofErr w:type="spellStart"/>
      <w:r>
        <w:rPr>
          <w:rFonts w:ascii="Calibri" w:hAnsi="Calibri" w:cs="Calibri"/>
          <w:sz w:val="24"/>
          <w:szCs w:val="24"/>
        </w:rPr>
        <w:t>taj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Ukupni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sukladno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 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slučaju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utvrdi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prethodnom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razliku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između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raspodijeliti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ostalim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razlika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prelazi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Na </w:t>
      </w:r>
      <w:proofErr w:type="spellStart"/>
      <w:r>
        <w:rPr>
          <w:rFonts w:ascii="Calibri" w:hAnsi="Calibri" w:cs="Calibri"/>
          <w:sz w:val="24"/>
          <w:szCs w:val="24"/>
        </w:rPr>
        <w:t>taj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pribraja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pripadajućem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prelaze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Postupak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raspodjele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ponavlja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budu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10.</w:t>
      </w:r>
    </w:p>
    <w:p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kamata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zadržava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pravo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da u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postupku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ocjene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(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provjere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)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dokumentacije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zatraži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od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poduzetnika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dokaz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o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prijavljenom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11.</w:t>
      </w:r>
    </w:p>
    <w:p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Ova </w:t>
      </w:r>
      <w:proofErr w:type="spellStart"/>
      <w:r>
        <w:rPr>
          <w:rFonts w:ascii="Calibri" w:hAnsi="Calibri" w:cs="Calibri"/>
          <w:sz w:val="24"/>
          <w:szCs w:val="24"/>
        </w:rPr>
        <w:t>Odluka</w:t>
      </w:r>
      <w:proofErr w:type="spellEnd"/>
      <w:r>
        <w:rPr>
          <w:rFonts w:ascii="Calibri" w:hAnsi="Calibri" w:cs="Calibri"/>
          <w:sz w:val="24"/>
          <w:szCs w:val="24"/>
        </w:rPr>
        <w:t xml:space="preserve"> stupa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snagu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donošenja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objavljuje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Matulji.</w:t>
      </w:r>
    </w:p>
    <w:p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:rsidR="00BB5B26" w:rsidRDefault="00E63D05" w:rsidP="00BB5B26">
      <w:pPr>
        <w:ind w:left="5664" w:firstLine="708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Općina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Matulji</w:t>
      </w:r>
    </w:p>
    <w:p w:rsidR="00BB5B26" w:rsidRDefault="00E63D05" w:rsidP="00BB5B26">
      <w:pPr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Općinski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načelnik</w:t>
      </w:r>
      <w:proofErr w:type="spellEnd"/>
    </w:p>
    <w:p w:rsidR="00BB5B26" w:rsidRDefault="00E63D05" w:rsidP="00BB5B26">
      <w:pPr>
        <w:ind w:left="5664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Mario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Ćiković</w:t>
      </w:r>
      <w:proofErr w:type="spellEnd"/>
    </w:p>
    <w:p w:rsidR="00BB5B26" w:rsidRDefault="00BB5B26" w:rsidP="00BB5B26">
      <w:pPr>
        <w:rPr>
          <w:rFonts w:ascii="Calibri" w:hAnsi="Calibri" w:cs="Calibri"/>
          <w:sz w:val="24"/>
          <w:szCs w:val="24"/>
        </w:rPr>
      </w:pPr>
    </w:p>
    <w:p w:rsidR="00494E08" w:rsidRPr="00494E08" w:rsidRDefault="00494E08" w:rsidP="00494E08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E63D05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F06065">
        <w:rPr>
          <w:sz w:val="24"/>
          <w:szCs w:val="24"/>
          <w:lang w:val="hr-HR" w:eastAsia="hr-HR"/>
        </w:rPr>
        <w:t>311-01/20-01/0002</w:t>
      </w:r>
    </w:p>
    <w:p w:rsidR="004F107A" w:rsidRPr="00494E08" w:rsidRDefault="00E63D05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467733">
        <w:rPr>
          <w:bCs/>
          <w:kern w:val="36"/>
          <w:sz w:val="24"/>
          <w:szCs w:val="24"/>
          <w:lang w:val="hr-HR" w:eastAsia="hr-HR"/>
        </w:rPr>
        <w:t>2156/04-03-01/5-20-0001</w:t>
      </w: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sectPr w:rsidR="004F107A" w:rsidRPr="00494E08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B68C919A">
      <w:start w:val="1"/>
      <w:numFmt w:val="decimal"/>
      <w:lvlText w:val="%1."/>
      <w:lvlJc w:val="left"/>
      <w:pPr>
        <w:ind w:left="720" w:hanging="360"/>
      </w:pPr>
    </w:lvl>
    <w:lvl w:ilvl="1" w:tplc="4BF8C2AA" w:tentative="1">
      <w:start w:val="1"/>
      <w:numFmt w:val="lowerLetter"/>
      <w:lvlText w:val="%2."/>
      <w:lvlJc w:val="left"/>
      <w:pPr>
        <w:ind w:left="1440" w:hanging="360"/>
      </w:pPr>
    </w:lvl>
    <w:lvl w:ilvl="2" w:tplc="9304A7FA" w:tentative="1">
      <w:start w:val="1"/>
      <w:numFmt w:val="lowerRoman"/>
      <w:lvlText w:val="%3."/>
      <w:lvlJc w:val="right"/>
      <w:pPr>
        <w:ind w:left="2160" w:hanging="180"/>
      </w:pPr>
    </w:lvl>
    <w:lvl w:ilvl="3" w:tplc="A7A84CFA" w:tentative="1">
      <w:start w:val="1"/>
      <w:numFmt w:val="decimal"/>
      <w:lvlText w:val="%4."/>
      <w:lvlJc w:val="left"/>
      <w:pPr>
        <w:ind w:left="2880" w:hanging="360"/>
      </w:pPr>
    </w:lvl>
    <w:lvl w:ilvl="4" w:tplc="6128B78A" w:tentative="1">
      <w:start w:val="1"/>
      <w:numFmt w:val="lowerLetter"/>
      <w:lvlText w:val="%5."/>
      <w:lvlJc w:val="left"/>
      <w:pPr>
        <w:ind w:left="3600" w:hanging="360"/>
      </w:pPr>
    </w:lvl>
    <w:lvl w:ilvl="5" w:tplc="C8ECB126" w:tentative="1">
      <w:start w:val="1"/>
      <w:numFmt w:val="lowerRoman"/>
      <w:lvlText w:val="%6."/>
      <w:lvlJc w:val="right"/>
      <w:pPr>
        <w:ind w:left="4320" w:hanging="180"/>
      </w:pPr>
    </w:lvl>
    <w:lvl w:ilvl="6" w:tplc="74E614FC" w:tentative="1">
      <w:start w:val="1"/>
      <w:numFmt w:val="decimal"/>
      <w:lvlText w:val="%7."/>
      <w:lvlJc w:val="left"/>
      <w:pPr>
        <w:ind w:left="5040" w:hanging="360"/>
      </w:pPr>
    </w:lvl>
    <w:lvl w:ilvl="7" w:tplc="582A972C" w:tentative="1">
      <w:start w:val="1"/>
      <w:numFmt w:val="lowerLetter"/>
      <w:lvlText w:val="%8."/>
      <w:lvlJc w:val="left"/>
      <w:pPr>
        <w:ind w:left="5760" w:hanging="360"/>
      </w:pPr>
    </w:lvl>
    <w:lvl w:ilvl="8" w:tplc="1F288F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7229A"/>
    <w:rsid w:val="00086A0A"/>
    <w:rsid w:val="000B0614"/>
    <w:rsid w:val="0015134D"/>
    <w:rsid w:val="00196F98"/>
    <w:rsid w:val="00246BF4"/>
    <w:rsid w:val="0031792A"/>
    <w:rsid w:val="00372F05"/>
    <w:rsid w:val="003D3A77"/>
    <w:rsid w:val="004114D2"/>
    <w:rsid w:val="004368FC"/>
    <w:rsid w:val="00466A53"/>
    <w:rsid w:val="00467733"/>
    <w:rsid w:val="00494E08"/>
    <w:rsid w:val="004F107A"/>
    <w:rsid w:val="005E74F1"/>
    <w:rsid w:val="005F1EBF"/>
    <w:rsid w:val="005F783D"/>
    <w:rsid w:val="00662EEB"/>
    <w:rsid w:val="00690955"/>
    <w:rsid w:val="00692F1B"/>
    <w:rsid w:val="006B6E74"/>
    <w:rsid w:val="006D7370"/>
    <w:rsid w:val="007272AD"/>
    <w:rsid w:val="00754606"/>
    <w:rsid w:val="00794DE4"/>
    <w:rsid w:val="00826D05"/>
    <w:rsid w:val="00860C72"/>
    <w:rsid w:val="00921725"/>
    <w:rsid w:val="00A4375B"/>
    <w:rsid w:val="00B33E8A"/>
    <w:rsid w:val="00B92289"/>
    <w:rsid w:val="00BB5B26"/>
    <w:rsid w:val="00C55BC6"/>
    <w:rsid w:val="00CC3C0A"/>
    <w:rsid w:val="00D01F19"/>
    <w:rsid w:val="00D178D5"/>
    <w:rsid w:val="00E63D05"/>
    <w:rsid w:val="00ED4575"/>
    <w:rsid w:val="00F0606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Hewlett-Packard Company</cp:lastModifiedBy>
  <cp:revision>6</cp:revision>
  <dcterms:created xsi:type="dcterms:W3CDTF">2020-10-20T06:30:00Z</dcterms:created>
  <dcterms:modified xsi:type="dcterms:W3CDTF">2020-10-22T08:35:00Z</dcterms:modified>
</cp:coreProperties>
</file>