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DF" w:rsidRDefault="00B80BDF" w:rsidP="00B80BDF">
      <w:pPr>
        <w:pStyle w:val="NormalWeb"/>
        <w:shd w:val="clear" w:color="auto" w:fill="FFFFFF"/>
        <w:ind w:left="7200" w:firstLine="720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NACRT</w:t>
      </w:r>
    </w:p>
    <w:p w:rsidR="00B80BDF" w:rsidRDefault="00B80BDF" w:rsidP="00B80BDF">
      <w:pPr>
        <w:pStyle w:val="NormalWeb"/>
        <w:shd w:val="clear" w:color="auto" w:fill="FFFFFF"/>
        <w:rPr>
          <w:sz w:val="24"/>
          <w:szCs w:val="24"/>
          <w:lang w:val="hr-HR"/>
        </w:rPr>
      </w:pPr>
      <w:r>
        <w:rPr>
          <w:lang w:val="hr-HR"/>
        </w:rPr>
        <w:t>Na temelju članka 7. stavka 2. Zakona o financiranju političkih aktivnosti i izborne promidžbe (»Narodne novine« broj 24/11, 61/11, 27/13, 2/14, 96/16 i 70/17) i članka 32. Statuta Općine Matulji (»Službene novine Primorsko-goranske županije« broj 26/09, 38/09, 8/13, 17/14, 29/14, 4/15 - pročišćeni tekst, 39/15 i 7/18), Općinsko vijeće Općine Matulji na sjednici održanoj dana _____________ 2019. godine, donosi</w:t>
      </w:r>
    </w:p>
    <w:p w:rsidR="00B80BDF" w:rsidRDefault="00B80BDF" w:rsidP="00B80BDF">
      <w:pPr>
        <w:pStyle w:val="NormalWeb"/>
        <w:shd w:val="clear" w:color="auto" w:fill="FFFFFF"/>
        <w:jc w:val="center"/>
        <w:rPr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ODLUKU</w:t>
      </w:r>
      <w:r>
        <w:rPr>
          <w:b/>
          <w:bCs/>
          <w:sz w:val="28"/>
          <w:szCs w:val="28"/>
          <w:lang w:val="hr-HR"/>
        </w:rPr>
        <w:br/>
        <w:t>o raspoređivanju sredstava za financiranje političkih</w:t>
      </w:r>
      <w:r>
        <w:rPr>
          <w:b/>
          <w:bCs/>
          <w:sz w:val="28"/>
          <w:szCs w:val="28"/>
          <w:lang w:val="hr-HR"/>
        </w:rPr>
        <w:br/>
        <w:t>stranaka i članova izabranih s liste grupe birača</w:t>
      </w:r>
      <w:r>
        <w:rPr>
          <w:b/>
          <w:bCs/>
          <w:sz w:val="28"/>
          <w:szCs w:val="28"/>
          <w:lang w:val="hr-HR"/>
        </w:rPr>
        <w:br/>
        <w:t>u Općinskom vijeću Općine Matulji za razdoblje</w:t>
      </w:r>
      <w:r>
        <w:rPr>
          <w:b/>
          <w:bCs/>
          <w:sz w:val="28"/>
          <w:szCs w:val="28"/>
          <w:lang w:val="hr-HR"/>
        </w:rPr>
        <w:br/>
        <w:t>01.01. – 31.12.2019. godine</w:t>
      </w:r>
    </w:p>
    <w:p w:rsidR="00B80BDF" w:rsidRDefault="00B80BDF" w:rsidP="00B80BDF">
      <w:pPr>
        <w:pStyle w:val="NormalWeb"/>
        <w:shd w:val="clear" w:color="auto" w:fill="FFFFFF"/>
        <w:jc w:val="center"/>
        <w:rPr>
          <w:sz w:val="24"/>
          <w:szCs w:val="24"/>
          <w:lang w:val="hr-HR"/>
        </w:rPr>
      </w:pPr>
      <w:r>
        <w:rPr>
          <w:lang w:val="hr-HR"/>
        </w:rPr>
        <w:t>Članak 1.</w:t>
      </w:r>
    </w:p>
    <w:p w:rsidR="00B80BDF" w:rsidRDefault="00B80BDF" w:rsidP="00B80BDF">
      <w:pPr>
        <w:pStyle w:val="NormalWeb"/>
        <w:shd w:val="clear" w:color="auto" w:fill="FFFFFF"/>
        <w:rPr>
          <w:lang w:val="hr-HR"/>
        </w:rPr>
      </w:pPr>
      <w:r>
        <w:rPr>
          <w:lang w:val="hr-HR"/>
        </w:rPr>
        <w:t xml:space="preserve">Ovom Odlukom raspoređuju se sredstva za financiranje političkih stranaka i članova izabranih s liste grupe birača zastupljenih u Općinskom vijeću Općine Matulji (u daljnjem tekstu: Općinsko vijeće) za razdoblje </w:t>
      </w:r>
      <w:r>
        <w:rPr>
          <w:bCs/>
          <w:lang w:val="hr-HR"/>
        </w:rPr>
        <w:t>01.siječnja. – 31.prosinca.2019. godine</w:t>
      </w:r>
      <w:r>
        <w:rPr>
          <w:lang w:val="hr-HR"/>
        </w:rPr>
        <w:t>, a koja su osigurana u Proračunu Općine Matulji za 2019. godinu.</w:t>
      </w:r>
    </w:p>
    <w:p w:rsidR="00B80BDF" w:rsidRDefault="00B80BDF" w:rsidP="00B80BDF">
      <w:pPr>
        <w:pStyle w:val="NormalWeb"/>
        <w:shd w:val="clear" w:color="auto" w:fill="FFFFFF"/>
        <w:jc w:val="center"/>
        <w:rPr>
          <w:lang w:val="hr-HR"/>
        </w:rPr>
      </w:pPr>
      <w:r>
        <w:rPr>
          <w:lang w:val="hr-HR"/>
        </w:rPr>
        <w:t>Članak 2.</w:t>
      </w:r>
    </w:p>
    <w:p w:rsidR="00B80BDF" w:rsidRDefault="00B80BDF" w:rsidP="00B80BDF">
      <w:pPr>
        <w:pStyle w:val="NormalWeb"/>
        <w:shd w:val="clear" w:color="auto" w:fill="FFFFFF"/>
        <w:rPr>
          <w:lang w:val="hr-HR"/>
        </w:rPr>
      </w:pPr>
      <w:r>
        <w:rPr>
          <w:lang w:val="hr-HR"/>
        </w:rPr>
        <w:t>Za svakog člana Općinskog vijeća utvrđuje se jednaki mjesečni iznos sredstava tako da svakoj političkoj stranci i članovima izabranim s liste grupe birača pripadaju sredstva razmjerno broju njenih članova u Općinskom vijeću u trenutku konstituiranja Općinskog vijeća.</w:t>
      </w:r>
    </w:p>
    <w:p w:rsidR="00B80BDF" w:rsidRDefault="00B80BDF" w:rsidP="00B80BDF">
      <w:pPr>
        <w:pStyle w:val="NormalWeb"/>
        <w:shd w:val="clear" w:color="auto" w:fill="FFFFFF"/>
        <w:rPr>
          <w:lang w:val="hr-HR"/>
        </w:rPr>
      </w:pPr>
      <w:r>
        <w:rPr>
          <w:lang w:val="hr-HR"/>
        </w:rPr>
        <w:t>Za svakog izabranog člana Općinskog vijeća podzastupljenog spola, pojedinim političkim strankama i članovima izabranih s liste grupe birača pripada i pravo na naknadu u visini od 10% iznosa predviđenog po svakom članu Općinskog vijeća.</w:t>
      </w:r>
    </w:p>
    <w:p w:rsidR="00B80BDF" w:rsidRDefault="00B80BDF" w:rsidP="00B80BDF">
      <w:pPr>
        <w:pStyle w:val="NormalWeb"/>
        <w:shd w:val="clear" w:color="auto" w:fill="FFFFFF"/>
        <w:jc w:val="center"/>
        <w:rPr>
          <w:lang w:val="hr-HR"/>
        </w:rPr>
      </w:pPr>
      <w:r>
        <w:rPr>
          <w:lang w:val="hr-HR"/>
        </w:rPr>
        <w:t>Članak 3.</w:t>
      </w:r>
    </w:p>
    <w:p w:rsidR="00B80BDF" w:rsidRDefault="00B80BDF" w:rsidP="00B80BDF">
      <w:pPr>
        <w:pStyle w:val="NormalWeb"/>
        <w:shd w:val="clear" w:color="auto" w:fill="FFFFFF"/>
        <w:rPr>
          <w:lang w:val="hr-HR"/>
        </w:rPr>
      </w:pPr>
      <w:r>
        <w:rPr>
          <w:lang w:val="hr-HR"/>
        </w:rPr>
        <w:t>Za svakog člana Općinskog vijeća utvrđuje se mjesečni iznos sredstava od 822,80 kuna.</w:t>
      </w:r>
    </w:p>
    <w:p w:rsidR="00B80BDF" w:rsidRDefault="00B80BDF" w:rsidP="00B80BDF">
      <w:pPr>
        <w:pStyle w:val="NormalWeb"/>
        <w:shd w:val="clear" w:color="auto" w:fill="FFFFFF"/>
        <w:jc w:val="center"/>
        <w:rPr>
          <w:lang w:val="hr-HR"/>
        </w:rPr>
      </w:pPr>
      <w:r>
        <w:rPr>
          <w:lang w:val="hr-HR"/>
        </w:rPr>
        <w:t>Članak 4.</w:t>
      </w:r>
    </w:p>
    <w:p w:rsidR="00B80BDF" w:rsidRDefault="00B80BDF" w:rsidP="00B80BDF">
      <w:pPr>
        <w:pStyle w:val="NormalWeb"/>
        <w:shd w:val="clear" w:color="auto" w:fill="FFFFFF"/>
        <w:rPr>
          <w:lang w:val="hr-HR"/>
        </w:rPr>
      </w:pPr>
      <w:r>
        <w:rPr>
          <w:lang w:val="hr-HR"/>
        </w:rPr>
        <w:t>Političkim strankama i članovima izabranim s liste grupe birača zastupljenim u Općinskom vijeću raspoređuju se sredstva osigurana u Proračunu Općine Matulji za 2019. godinu na način utvrđen u člancima 1., 2. i 3. ove Odluke kako slijedi:</w:t>
      </w:r>
    </w:p>
    <w:p w:rsidR="00B80BDF" w:rsidRDefault="00B80BDF" w:rsidP="00B80BDF">
      <w:pPr>
        <w:pStyle w:val="NormalWeb"/>
        <w:shd w:val="clear" w:color="auto" w:fill="FFFFFF"/>
        <w:rPr>
          <w:lang w:val="hr-HR"/>
        </w:rPr>
      </w:pPr>
      <w:r>
        <w:rPr>
          <w:lang w:val="hr-HR"/>
        </w:rPr>
        <w:t>1. Političke stranke:</w:t>
      </w:r>
    </w:p>
    <w:p w:rsidR="00B80BDF" w:rsidRDefault="00B80BDF" w:rsidP="00B80BDF">
      <w:pPr>
        <w:pStyle w:val="NormalWeb"/>
        <w:shd w:val="clear" w:color="auto" w:fill="FFFFFF"/>
        <w:rPr>
          <w:lang w:val="hr-HR"/>
        </w:rPr>
      </w:pPr>
      <w:r>
        <w:rPr>
          <w:lang w:val="hr-HR"/>
        </w:rPr>
        <w:t>-Istarski demokratski sabor - IDS 9.873,60 kuna,</w:t>
      </w:r>
    </w:p>
    <w:p w:rsidR="00B80BDF" w:rsidRDefault="00B80BDF" w:rsidP="00B80BDF">
      <w:pPr>
        <w:pStyle w:val="NormalWeb"/>
        <w:shd w:val="clear" w:color="auto" w:fill="FFFFFF"/>
        <w:rPr>
          <w:lang w:val="hr-HR"/>
        </w:rPr>
      </w:pPr>
      <w:r>
        <w:rPr>
          <w:lang w:val="hr-HR"/>
        </w:rPr>
        <w:t>-Hrvatska demokratska zajednica - HDZ 30.608,16 kuna,</w:t>
      </w:r>
    </w:p>
    <w:p w:rsidR="00B80BDF" w:rsidRDefault="00B80BDF" w:rsidP="00B80BDF">
      <w:pPr>
        <w:pStyle w:val="NormalWeb"/>
        <w:shd w:val="clear" w:color="auto" w:fill="FFFFFF"/>
        <w:rPr>
          <w:lang w:val="hr-HR"/>
        </w:rPr>
      </w:pPr>
      <w:r>
        <w:rPr>
          <w:lang w:val="hr-HR"/>
        </w:rPr>
        <w:t>-Socijaldemokratska partija Hrvatske - SDP 40.481,76 kuna,</w:t>
      </w:r>
    </w:p>
    <w:p w:rsidR="00B80BDF" w:rsidRDefault="00B80BDF" w:rsidP="00B80BDF">
      <w:pPr>
        <w:pStyle w:val="NormalWeb"/>
        <w:shd w:val="clear" w:color="auto" w:fill="FFFFFF"/>
        <w:rPr>
          <w:lang w:val="hr-HR"/>
        </w:rPr>
      </w:pPr>
      <w:r>
        <w:rPr>
          <w:lang w:val="hr-HR"/>
        </w:rPr>
        <w:t>-Primorsko-goranski savez - PGS 19.747,20 kuna,</w:t>
      </w:r>
    </w:p>
    <w:p w:rsidR="00B80BDF" w:rsidRDefault="00B80BDF" w:rsidP="00B80BDF">
      <w:pPr>
        <w:pStyle w:val="NormalWeb"/>
        <w:shd w:val="clear" w:color="auto" w:fill="FFFFFF"/>
        <w:rPr>
          <w:lang w:val="hr-HR"/>
        </w:rPr>
      </w:pPr>
      <w:r>
        <w:rPr>
          <w:lang w:val="hr-HR"/>
        </w:rPr>
        <w:t>-Hrvatska stranka umirovljenika - HSU 10.860,96 kuna,</w:t>
      </w:r>
    </w:p>
    <w:p w:rsidR="00B80BDF" w:rsidRDefault="00B80BDF" w:rsidP="00B80BDF">
      <w:pPr>
        <w:pStyle w:val="NormalWeb"/>
        <w:shd w:val="clear" w:color="auto" w:fill="FFFFFF"/>
        <w:rPr>
          <w:lang w:val="hr-HR"/>
        </w:rPr>
      </w:pPr>
      <w:r>
        <w:rPr>
          <w:lang w:val="hr-HR"/>
        </w:rPr>
        <w:t>-Akcija mladih - AM 19.747,20 kuna,</w:t>
      </w:r>
    </w:p>
    <w:p w:rsidR="00B80BDF" w:rsidRDefault="00B80BDF" w:rsidP="00B80BDF">
      <w:pPr>
        <w:pStyle w:val="NormalWeb"/>
        <w:shd w:val="clear" w:color="auto" w:fill="FFFFFF"/>
        <w:rPr>
          <w:lang w:val="hr-HR"/>
        </w:rPr>
      </w:pPr>
      <w:r>
        <w:rPr>
          <w:lang w:val="hr-HR"/>
        </w:rPr>
        <w:t>-Unija Kvarnera - 9.873,60 kuna,</w:t>
      </w:r>
    </w:p>
    <w:p w:rsidR="00B80BDF" w:rsidRDefault="00B80BDF" w:rsidP="00B80BDF">
      <w:pPr>
        <w:pStyle w:val="NormalWeb"/>
        <w:shd w:val="clear" w:color="auto" w:fill="FFFFFF"/>
        <w:rPr>
          <w:lang w:val="hr-HR"/>
        </w:rPr>
      </w:pPr>
      <w:r>
        <w:rPr>
          <w:lang w:val="hr-HR"/>
        </w:rPr>
        <w:t>-Živi zid - 10.860,96 kuna.</w:t>
      </w:r>
    </w:p>
    <w:p w:rsidR="00B80BDF" w:rsidRDefault="00B80BDF" w:rsidP="00B80BDF">
      <w:pPr>
        <w:pStyle w:val="NormalWeb"/>
        <w:shd w:val="clear" w:color="auto" w:fill="FFFFFF"/>
        <w:rPr>
          <w:lang w:val="hr-HR"/>
        </w:rPr>
      </w:pPr>
      <w:r>
        <w:rPr>
          <w:lang w:val="hr-HR"/>
        </w:rPr>
        <w:lastRenderedPageBreak/>
        <w:t>2. Članovi izabrani s liste grupe birača:</w:t>
      </w:r>
    </w:p>
    <w:p w:rsidR="00B80BDF" w:rsidRDefault="00B80BDF" w:rsidP="00B80BDF">
      <w:pPr>
        <w:pStyle w:val="NormalWeb"/>
        <w:shd w:val="clear" w:color="auto" w:fill="FFFFFF"/>
        <w:rPr>
          <w:lang w:val="hr-HR"/>
        </w:rPr>
      </w:pPr>
      <w:r>
        <w:rPr>
          <w:lang w:val="hr-HR"/>
        </w:rPr>
        <w:t>-Željko Grbac 9.873,60 kuna,</w:t>
      </w:r>
    </w:p>
    <w:p w:rsidR="00B80BDF" w:rsidRDefault="00B80BDF" w:rsidP="00B80BDF">
      <w:pPr>
        <w:pStyle w:val="NormalWeb"/>
        <w:shd w:val="clear" w:color="auto" w:fill="FFFFFF"/>
        <w:rPr>
          <w:lang w:val="hr-HR"/>
        </w:rPr>
      </w:pPr>
      <w:r>
        <w:rPr>
          <w:lang w:val="hr-HR"/>
        </w:rPr>
        <w:t>-Dean Maslić 9.873,60 kuna.</w:t>
      </w:r>
    </w:p>
    <w:p w:rsidR="00B80BDF" w:rsidRDefault="00B80BDF" w:rsidP="00B80BDF">
      <w:pPr>
        <w:pStyle w:val="NormalWeb"/>
        <w:shd w:val="clear" w:color="auto" w:fill="FFFFFF"/>
        <w:jc w:val="center"/>
        <w:rPr>
          <w:lang w:val="hr-HR"/>
        </w:rPr>
      </w:pPr>
      <w:r>
        <w:rPr>
          <w:lang w:val="hr-HR"/>
        </w:rPr>
        <w:t>Članak 5.</w:t>
      </w:r>
    </w:p>
    <w:p w:rsidR="00B80BDF" w:rsidRDefault="00B80BDF" w:rsidP="00B80BDF">
      <w:pPr>
        <w:pStyle w:val="NormalWeb"/>
        <w:shd w:val="clear" w:color="auto" w:fill="FFFFFF"/>
        <w:rPr>
          <w:lang w:val="hr-HR"/>
        </w:rPr>
      </w:pPr>
      <w:r>
        <w:rPr>
          <w:lang w:val="hr-HR"/>
        </w:rPr>
        <w:t>Sredstva utvrđena u članku 4. ove Odluke, doznačuju se na žiro račun političke stranke, odnosno na poseban račun člana Općinskog vijeća izabranog s liste grupe birača.</w:t>
      </w:r>
    </w:p>
    <w:p w:rsidR="00B80BDF" w:rsidRDefault="00B80BDF" w:rsidP="00B80BDF">
      <w:pPr>
        <w:pStyle w:val="NormalWeb"/>
        <w:shd w:val="clear" w:color="auto" w:fill="FFFFFF"/>
        <w:rPr>
          <w:lang w:val="hr-HR"/>
        </w:rPr>
      </w:pPr>
      <w:r>
        <w:rPr>
          <w:lang w:val="hr-HR"/>
        </w:rPr>
        <w:t>Obračun i isplatu sredstava iz članka 4. ove Odluke obavlja upravno tijelo općinske uprave u čijoj je nadležnosti obračun i isplata naknade članova Općinskog vijeća.</w:t>
      </w:r>
    </w:p>
    <w:p w:rsidR="00B80BDF" w:rsidRDefault="00B80BDF" w:rsidP="00B80BDF">
      <w:pPr>
        <w:pStyle w:val="NormalWeb"/>
        <w:shd w:val="clear" w:color="auto" w:fill="FFFFFF"/>
        <w:rPr>
          <w:lang w:val="hr-HR"/>
        </w:rPr>
      </w:pPr>
      <w:r>
        <w:rPr>
          <w:lang w:val="hr-HR"/>
        </w:rPr>
        <w:t>Sredstva za redovito mjesečno financiranje iz članka 4. ove Odluke doznačuje se na žiro račun ogranaka političke odnosno na poseban račun člana izabranog s liste grupe birača tromjesečno u jednakim iznosima.</w:t>
      </w:r>
    </w:p>
    <w:p w:rsidR="00B80BDF" w:rsidRDefault="00B80BDF" w:rsidP="00B80BDF">
      <w:pPr>
        <w:pStyle w:val="NormalWeb"/>
        <w:shd w:val="clear" w:color="auto" w:fill="FFFFFF"/>
        <w:jc w:val="center"/>
        <w:rPr>
          <w:lang w:val="hr-HR"/>
        </w:rPr>
      </w:pPr>
      <w:r>
        <w:rPr>
          <w:lang w:val="hr-HR"/>
        </w:rPr>
        <w:t>Članak 6.</w:t>
      </w:r>
    </w:p>
    <w:p w:rsidR="00B80BDF" w:rsidRDefault="00B80BDF" w:rsidP="00B80BDF">
      <w:pPr>
        <w:pStyle w:val="NormalWeb"/>
        <w:shd w:val="clear" w:color="auto" w:fill="FFFFFF"/>
        <w:rPr>
          <w:lang w:val="hr-HR"/>
        </w:rPr>
      </w:pPr>
      <w:r>
        <w:rPr>
          <w:lang w:val="hr-HR"/>
        </w:rPr>
        <w:t>Ova Odluka stupa na snagu dan nakon objave u »Službenim novinama Primorsko-goranske županije«.</w:t>
      </w:r>
    </w:p>
    <w:p w:rsidR="00B80BDF" w:rsidRDefault="00B80BDF" w:rsidP="00B80BDF">
      <w:pPr>
        <w:jc w:val="both"/>
        <w:rPr>
          <w:sz w:val="24"/>
          <w:szCs w:val="24"/>
          <w:lang w:val="hr-HR" w:eastAsia="hr-HR"/>
        </w:rPr>
      </w:pPr>
    </w:p>
    <w:p w:rsidR="00B80BDF" w:rsidRDefault="00B80BDF" w:rsidP="00B80BDF">
      <w:pPr>
        <w:jc w:val="both"/>
        <w:rPr>
          <w:sz w:val="24"/>
          <w:szCs w:val="24"/>
          <w:lang w:val="hr-HR" w:eastAsia="hr-HR"/>
        </w:rPr>
      </w:pPr>
    </w:p>
    <w:p w:rsidR="00B80BDF" w:rsidRDefault="00B80BDF" w:rsidP="00B80BDF">
      <w:pPr>
        <w:jc w:val="both"/>
        <w:rPr>
          <w:sz w:val="24"/>
          <w:szCs w:val="24"/>
          <w:lang w:val="hr-HR" w:eastAsia="hr-HR"/>
        </w:rPr>
      </w:pPr>
    </w:p>
    <w:p w:rsidR="00B80BDF" w:rsidRDefault="00B80BDF" w:rsidP="00B80BDF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Matulji, ________________</w:t>
      </w:r>
      <w:bookmarkStart w:id="0" w:name="_GoBack"/>
      <w:bookmarkEnd w:id="0"/>
    </w:p>
    <w:p w:rsidR="00B80BDF" w:rsidRDefault="00B80BDF" w:rsidP="00B80BDF">
      <w:pPr>
        <w:jc w:val="both"/>
        <w:outlineLvl w:val="0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KLASA:   </w:t>
      </w:r>
      <w:r>
        <w:rPr>
          <w:sz w:val="24"/>
          <w:szCs w:val="24"/>
          <w:lang w:val="hr-HR"/>
        </w:rPr>
        <w:fldChar w:fldCharType="begin" w:fldLock="1">
          <w:ffData>
            <w:name w:val="Klasa2"/>
            <w:enabled/>
            <w:calcOnExit w:val="0"/>
            <w:textInput>
              <w:default w:val="011-01/19-01/0004"/>
            </w:textInput>
          </w:ffData>
        </w:fldChar>
      </w:r>
      <w:bookmarkStart w:id="1" w:name="Klasa2"/>
      <w:r>
        <w:rPr>
          <w:sz w:val="24"/>
          <w:szCs w:val="24"/>
          <w:lang w:val="hr-HR"/>
        </w:rPr>
        <w:instrText xml:space="preserve"> FORMTEXT </w:instrText>
      </w:r>
      <w:r>
        <w:rPr>
          <w:sz w:val="24"/>
          <w:szCs w:val="24"/>
          <w:lang w:val="hr-HR"/>
        </w:rPr>
      </w:r>
      <w:r>
        <w:rPr>
          <w:sz w:val="24"/>
          <w:szCs w:val="24"/>
          <w:lang w:val="hr-HR"/>
        </w:rPr>
        <w:fldChar w:fldCharType="separate"/>
      </w:r>
      <w:r>
        <w:rPr>
          <w:sz w:val="24"/>
          <w:szCs w:val="24"/>
          <w:lang w:val="hr-HR"/>
        </w:rPr>
        <w:t>011-01/19-01/0004</w:t>
      </w:r>
      <w:r>
        <w:fldChar w:fldCharType="end"/>
      </w:r>
      <w:bookmarkEnd w:id="1"/>
    </w:p>
    <w:p w:rsidR="00B80BDF" w:rsidRDefault="00B80BDF" w:rsidP="00B80BDF">
      <w:pPr>
        <w:jc w:val="both"/>
        <w:outlineLvl w:val="0"/>
        <w:rPr>
          <w:sz w:val="24"/>
          <w:szCs w:val="24"/>
          <w:lang w:val="hr-HR"/>
        </w:rPr>
      </w:pPr>
      <w:r>
        <w:rPr>
          <w:bCs/>
          <w:kern w:val="36"/>
          <w:sz w:val="24"/>
          <w:szCs w:val="24"/>
          <w:lang w:val="hr-HR" w:eastAsia="hr-HR"/>
        </w:rPr>
        <w:t xml:space="preserve">URBROJ: </w:t>
      </w:r>
      <w:r>
        <w:rPr>
          <w:sz w:val="24"/>
          <w:szCs w:val="24"/>
          <w:lang w:val="hr-HR"/>
        </w:rPr>
        <w:fldChar w:fldCharType="begin" w:fldLock="1">
          <w:ffData>
            <w:name w:val="Urbroj2"/>
            <w:enabled/>
            <w:calcOnExit w:val="0"/>
            <w:textInput/>
          </w:ffData>
        </w:fldChar>
      </w:r>
      <w:bookmarkStart w:id="2" w:name="Urbroj2"/>
      <w:r>
        <w:rPr>
          <w:sz w:val="24"/>
          <w:szCs w:val="24"/>
          <w:lang w:val="hr-HR"/>
        </w:rPr>
        <w:instrText xml:space="preserve"> FORMTEXT </w:instrText>
      </w:r>
      <w:r>
        <w:rPr>
          <w:sz w:val="24"/>
          <w:szCs w:val="24"/>
          <w:lang w:val="hr-HR"/>
        </w:rPr>
      </w:r>
      <w:r>
        <w:rPr>
          <w:sz w:val="24"/>
          <w:szCs w:val="24"/>
          <w:lang w:val="hr-HR"/>
        </w:rPr>
        <w:fldChar w:fldCharType="separate"/>
      </w:r>
      <w:r>
        <w:rPr>
          <w:sz w:val="24"/>
          <w:szCs w:val="24"/>
          <w:lang w:val="hr-HR"/>
        </w:rPr>
        <w:t> </w:t>
      </w:r>
      <w:r>
        <w:rPr>
          <w:sz w:val="24"/>
          <w:szCs w:val="24"/>
          <w:lang w:val="hr-HR"/>
        </w:rPr>
        <w:t> </w:t>
      </w:r>
      <w:r>
        <w:rPr>
          <w:sz w:val="24"/>
          <w:szCs w:val="24"/>
          <w:lang w:val="hr-HR"/>
        </w:rPr>
        <w:t> </w:t>
      </w:r>
      <w:r>
        <w:rPr>
          <w:sz w:val="24"/>
          <w:szCs w:val="24"/>
          <w:lang w:val="hr-HR"/>
        </w:rPr>
        <w:t> </w:t>
      </w:r>
      <w:r>
        <w:rPr>
          <w:sz w:val="24"/>
          <w:szCs w:val="24"/>
          <w:lang w:val="hr-HR"/>
        </w:rPr>
        <w:t> </w:t>
      </w:r>
      <w:r>
        <w:fldChar w:fldCharType="end"/>
      </w:r>
      <w:bookmarkEnd w:id="2"/>
    </w:p>
    <w:p w:rsidR="00B80BDF" w:rsidRDefault="00B80BDF" w:rsidP="00B80BDF">
      <w:pPr>
        <w:ind w:left="1416" w:firstLine="708"/>
        <w:jc w:val="center"/>
        <w:rPr>
          <w:sz w:val="24"/>
          <w:szCs w:val="24"/>
        </w:rPr>
      </w:pPr>
      <w:r>
        <w:rPr>
          <w:sz w:val="24"/>
          <w:szCs w:val="24"/>
        </w:rPr>
        <w:t>OPĆINSKO VIJEĆE</w:t>
      </w:r>
    </w:p>
    <w:p w:rsidR="00B80BDF" w:rsidRDefault="00B80BDF" w:rsidP="00B80BDF">
      <w:pPr>
        <w:ind w:left="1416" w:firstLine="708"/>
        <w:jc w:val="center"/>
        <w:rPr>
          <w:sz w:val="24"/>
          <w:szCs w:val="24"/>
        </w:rPr>
      </w:pPr>
      <w:r>
        <w:rPr>
          <w:sz w:val="24"/>
          <w:szCs w:val="24"/>
        </w:rPr>
        <w:t>OPĆINE MATULJI</w:t>
      </w:r>
    </w:p>
    <w:p w:rsidR="00B80BDF" w:rsidRDefault="00B80BDF" w:rsidP="00B80BDF">
      <w:pPr>
        <w:ind w:left="1416" w:firstLine="708"/>
        <w:jc w:val="center"/>
        <w:rPr>
          <w:sz w:val="24"/>
          <w:szCs w:val="24"/>
        </w:rPr>
      </w:pPr>
      <w:r>
        <w:rPr>
          <w:sz w:val="24"/>
          <w:szCs w:val="24"/>
        </w:rPr>
        <w:t>Predsjednik</w:t>
      </w:r>
    </w:p>
    <w:p w:rsidR="00B80BDF" w:rsidRDefault="00B80BDF" w:rsidP="00B80BDF">
      <w:pPr>
        <w:ind w:left="1416" w:firstLine="708"/>
        <w:jc w:val="center"/>
        <w:rPr>
          <w:sz w:val="24"/>
          <w:szCs w:val="24"/>
        </w:rPr>
      </w:pPr>
      <w:r>
        <w:rPr>
          <w:sz w:val="24"/>
          <w:szCs w:val="24"/>
        </w:rPr>
        <w:t>Darjan Buković, bacc.oec.</w:t>
      </w:r>
    </w:p>
    <w:p w:rsidR="00B80BDF" w:rsidRDefault="00B80BDF" w:rsidP="00B80BDF">
      <w:pPr>
        <w:jc w:val="both"/>
        <w:outlineLvl w:val="0"/>
        <w:rPr>
          <w:rFonts w:eastAsia="Calibri"/>
          <w:sz w:val="24"/>
          <w:szCs w:val="24"/>
          <w:lang w:val="hr-HR"/>
        </w:rPr>
      </w:pPr>
    </w:p>
    <w:p w:rsidR="00FA487E" w:rsidRPr="00B80BDF" w:rsidRDefault="00FA487E" w:rsidP="00B80BDF"/>
    <w:sectPr w:rsidR="00FA487E" w:rsidRPr="00B80BDF" w:rsidSect="00372F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B70" w:rsidRDefault="008C1B70" w:rsidP="00FA487E">
      <w:r>
        <w:separator/>
      </w:r>
    </w:p>
  </w:endnote>
  <w:endnote w:type="continuationSeparator" w:id="0">
    <w:p w:rsidR="008C1B70" w:rsidRDefault="008C1B70" w:rsidP="00FA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70B" w:rsidRDefault="001F27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70B" w:rsidRDefault="001F27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70B" w:rsidRDefault="001F27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B70" w:rsidRDefault="008C1B70" w:rsidP="00FA487E">
      <w:r>
        <w:separator/>
      </w:r>
    </w:p>
  </w:footnote>
  <w:footnote w:type="continuationSeparator" w:id="0">
    <w:p w:rsidR="008C1B70" w:rsidRDefault="008C1B70" w:rsidP="00FA4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70B" w:rsidRDefault="001F27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70B" w:rsidRDefault="001F27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70B" w:rsidRDefault="001F27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3F46"/>
    <w:multiLevelType w:val="hybridMultilevel"/>
    <w:tmpl w:val="6824C124"/>
    <w:lvl w:ilvl="0" w:tplc="06DEADB0">
      <w:start w:val="1"/>
      <w:numFmt w:val="bullet"/>
      <w:lvlText w:val="-"/>
      <w:lvlJc w:val="left"/>
      <w:pPr>
        <w:ind w:left="1428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6A13AB"/>
    <w:multiLevelType w:val="hybridMultilevel"/>
    <w:tmpl w:val="69F8A640"/>
    <w:lvl w:ilvl="0" w:tplc="06DEADB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D7867"/>
    <w:multiLevelType w:val="hybridMultilevel"/>
    <w:tmpl w:val="A6B4D6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E679C"/>
    <w:multiLevelType w:val="hybridMultilevel"/>
    <w:tmpl w:val="316A25E4"/>
    <w:lvl w:ilvl="0" w:tplc="06DEADB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239E5"/>
    <w:multiLevelType w:val="hybridMultilevel"/>
    <w:tmpl w:val="A3ACA4B8"/>
    <w:lvl w:ilvl="0" w:tplc="06DEADB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7064A"/>
    <w:multiLevelType w:val="hybridMultilevel"/>
    <w:tmpl w:val="D1EE1C04"/>
    <w:lvl w:ilvl="0" w:tplc="06DEADB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  <w:num w:numId="11">
    <w:abstractNumId w:val="4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05"/>
    <w:rsid w:val="000426DA"/>
    <w:rsid w:val="00043CD3"/>
    <w:rsid w:val="000472E7"/>
    <w:rsid w:val="000868F6"/>
    <w:rsid w:val="000B0517"/>
    <w:rsid w:val="000B0614"/>
    <w:rsid w:val="000E26CF"/>
    <w:rsid w:val="0015134D"/>
    <w:rsid w:val="00151BEA"/>
    <w:rsid w:val="00163204"/>
    <w:rsid w:val="00180254"/>
    <w:rsid w:val="00182DCE"/>
    <w:rsid w:val="001C5680"/>
    <w:rsid w:val="001E64BD"/>
    <w:rsid w:val="001F270B"/>
    <w:rsid w:val="00216D2C"/>
    <w:rsid w:val="00235805"/>
    <w:rsid w:val="00246BF4"/>
    <w:rsid w:val="0026483A"/>
    <w:rsid w:val="002C076E"/>
    <w:rsid w:val="002F1C2A"/>
    <w:rsid w:val="003134F2"/>
    <w:rsid w:val="0031792A"/>
    <w:rsid w:val="00372F05"/>
    <w:rsid w:val="003766A3"/>
    <w:rsid w:val="003D3A77"/>
    <w:rsid w:val="003F0D40"/>
    <w:rsid w:val="004114D2"/>
    <w:rsid w:val="00466A53"/>
    <w:rsid w:val="00494E08"/>
    <w:rsid w:val="004F107A"/>
    <w:rsid w:val="00540B7E"/>
    <w:rsid w:val="005E74F1"/>
    <w:rsid w:val="005F1EBF"/>
    <w:rsid w:val="005F783D"/>
    <w:rsid w:val="00662EEB"/>
    <w:rsid w:val="006867C6"/>
    <w:rsid w:val="00690955"/>
    <w:rsid w:val="00691E29"/>
    <w:rsid w:val="006D7370"/>
    <w:rsid w:val="007272AD"/>
    <w:rsid w:val="00737EC9"/>
    <w:rsid w:val="00754606"/>
    <w:rsid w:val="00784F0D"/>
    <w:rsid w:val="00794DE4"/>
    <w:rsid w:val="007F5E17"/>
    <w:rsid w:val="00826D05"/>
    <w:rsid w:val="00860C72"/>
    <w:rsid w:val="0087652D"/>
    <w:rsid w:val="008C1B70"/>
    <w:rsid w:val="0092089E"/>
    <w:rsid w:val="00921725"/>
    <w:rsid w:val="0092500C"/>
    <w:rsid w:val="009B7105"/>
    <w:rsid w:val="00A17F2E"/>
    <w:rsid w:val="00A4375B"/>
    <w:rsid w:val="00A614EE"/>
    <w:rsid w:val="00A94EAD"/>
    <w:rsid w:val="00B17800"/>
    <w:rsid w:val="00B33E8A"/>
    <w:rsid w:val="00B61790"/>
    <w:rsid w:val="00B779CC"/>
    <w:rsid w:val="00B80BDF"/>
    <w:rsid w:val="00B915BA"/>
    <w:rsid w:val="00B92289"/>
    <w:rsid w:val="00BA3FF7"/>
    <w:rsid w:val="00BB6A22"/>
    <w:rsid w:val="00BC4F51"/>
    <w:rsid w:val="00BE2EF9"/>
    <w:rsid w:val="00BE7968"/>
    <w:rsid w:val="00C23F8D"/>
    <w:rsid w:val="00C26C39"/>
    <w:rsid w:val="00C55BC6"/>
    <w:rsid w:val="00D01F19"/>
    <w:rsid w:val="00D107FD"/>
    <w:rsid w:val="00D57878"/>
    <w:rsid w:val="00D90179"/>
    <w:rsid w:val="00DC2A3B"/>
    <w:rsid w:val="00DE2921"/>
    <w:rsid w:val="00DF1D63"/>
    <w:rsid w:val="00E64340"/>
    <w:rsid w:val="00ED4575"/>
    <w:rsid w:val="00EF26AA"/>
    <w:rsid w:val="00F10646"/>
    <w:rsid w:val="00F14ABA"/>
    <w:rsid w:val="00F22BC0"/>
    <w:rsid w:val="00F4655B"/>
    <w:rsid w:val="00F62C09"/>
    <w:rsid w:val="00FA0B98"/>
    <w:rsid w:val="00FA1913"/>
    <w:rsid w:val="00FA487E"/>
    <w:rsid w:val="00FB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07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64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107A"/>
    <w:pPr>
      <w:keepNext/>
      <w:widowControl/>
      <w:overflowPunct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F107A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paragraph" w:styleId="ListParagraph">
    <w:name w:val="List Paragraph"/>
    <w:basedOn w:val="Normal"/>
    <w:uiPriority w:val="99"/>
    <w:qFormat/>
    <w:rsid w:val="004F107A"/>
    <w:pPr>
      <w:ind w:left="720"/>
      <w:contextualSpacing/>
    </w:pPr>
  </w:style>
  <w:style w:type="table" w:styleId="TableGrid">
    <w:name w:val="Table Grid"/>
    <w:basedOn w:val="TableNormal"/>
    <w:uiPriority w:val="39"/>
    <w:rsid w:val="00F46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8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A487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87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A487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87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A487E"/>
    <w:pPr>
      <w:widowControl/>
      <w:overflowPunct/>
      <w:autoSpaceDE/>
      <w:autoSpaceDN/>
      <w:adjustRightInd/>
      <w:spacing w:after="120"/>
    </w:pPr>
    <w:rPr>
      <w:sz w:val="24"/>
      <w:szCs w:val="24"/>
      <w:lang w:val="hr-HR" w:eastAsia="hr-H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A487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A487E"/>
    <w:pPr>
      <w:widowControl/>
      <w:overflowPunct/>
      <w:autoSpaceDE/>
      <w:autoSpaceDN/>
      <w:adjustRightInd/>
      <w:ind w:firstLine="708"/>
      <w:jc w:val="both"/>
    </w:pPr>
    <w:rPr>
      <w:rFonts w:ascii="Arial" w:hAnsi="Arial" w:cs="Arial"/>
      <w:sz w:val="24"/>
      <w:szCs w:val="24"/>
      <w:lang w:val="hr-HR" w:eastAsia="hr-H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A487E"/>
    <w:rPr>
      <w:rFonts w:ascii="Arial" w:eastAsia="Times New Roman" w:hAnsi="Arial" w:cs="Arial"/>
      <w:sz w:val="24"/>
      <w:szCs w:val="24"/>
      <w:lang w:eastAsia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A487E"/>
    <w:pPr>
      <w:widowControl/>
      <w:overflowPunct/>
      <w:autoSpaceDE/>
      <w:autoSpaceDN/>
      <w:adjustRightInd/>
      <w:spacing w:after="120" w:line="480" w:lineRule="auto"/>
    </w:pPr>
    <w:rPr>
      <w:sz w:val="24"/>
      <w:szCs w:val="24"/>
      <w:lang w:val="hr-HR" w:eastAsia="hr-H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A487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FA48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1E64B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NormalWeb">
    <w:name w:val="Normal (Web)"/>
    <w:basedOn w:val="Normal"/>
    <w:uiPriority w:val="99"/>
    <w:unhideWhenUsed/>
    <w:rsid w:val="001E64BD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07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64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107A"/>
    <w:pPr>
      <w:keepNext/>
      <w:widowControl/>
      <w:overflowPunct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F107A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paragraph" w:styleId="ListParagraph">
    <w:name w:val="List Paragraph"/>
    <w:basedOn w:val="Normal"/>
    <w:uiPriority w:val="99"/>
    <w:qFormat/>
    <w:rsid w:val="004F107A"/>
    <w:pPr>
      <w:ind w:left="720"/>
      <w:contextualSpacing/>
    </w:pPr>
  </w:style>
  <w:style w:type="table" w:styleId="TableGrid">
    <w:name w:val="Table Grid"/>
    <w:basedOn w:val="TableNormal"/>
    <w:uiPriority w:val="39"/>
    <w:rsid w:val="00F46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8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A487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87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A487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87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A487E"/>
    <w:pPr>
      <w:widowControl/>
      <w:overflowPunct/>
      <w:autoSpaceDE/>
      <w:autoSpaceDN/>
      <w:adjustRightInd/>
      <w:spacing w:after="120"/>
    </w:pPr>
    <w:rPr>
      <w:sz w:val="24"/>
      <w:szCs w:val="24"/>
      <w:lang w:val="hr-HR" w:eastAsia="hr-H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A487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A487E"/>
    <w:pPr>
      <w:widowControl/>
      <w:overflowPunct/>
      <w:autoSpaceDE/>
      <w:autoSpaceDN/>
      <w:adjustRightInd/>
      <w:ind w:firstLine="708"/>
      <w:jc w:val="both"/>
    </w:pPr>
    <w:rPr>
      <w:rFonts w:ascii="Arial" w:hAnsi="Arial" w:cs="Arial"/>
      <w:sz w:val="24"/>
      <w:szCs w:val="24"/>
      <w:lang w:val="hr-HR" w:eastAsia="hr-H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A487E"/>
    <w:rPr>
      <w:rFonts w:ascii="Arial" w:eastAsia="Times New Roman" w:hAnsi="Arial" w:cs="Arial"/>
      <w:sz w:val="24"/>
      <w:szCs w:val="24"/>
      <w:lang w:eastAsia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A487E"/>
    <w:pPr>
      <w:widowControl/>
      <w:overflowPunct/>
      <w:autoSpaceDE/>
      <w:autoSpaceDN/>
      <w:adjustRightInd/>
      <w:spacing w:after="120" w:line="480" w:lineRule="auto"/>
    </w:pPr>
    <w:rPr>
      <w:sz w:val="24"/>
      <w:szCs w:val="24"/>
      <w:lang w:val="hr-HR" w:eastAsia="hr-H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A487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FA48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1E64B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NormalWeb">
    <w:name w:val="Normal (Web)"/>
    <w:basedOn w:val="Normal"/>
    <w:uiPriority w:val="99"/>
    <w:unhideWhenUsed/>
    <w:rsid w:val="001E64BD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0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F89BB-973C-4C9A-AF85-003C70DC5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Consultor d.o.o.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Ljubomira Vrh</dc:creator>
  <cp:lastModifiedBy>Biserka Gadžo</cp:lastModifiedBy>
  <cp:revision>4</cp:revision>
  <cp:lastPrinted>2019-01-15T09:23:00Z</cp:lastPrinted>
  <dcterms:created xsi:type="dcterms:W3CDTF">2019-01-16T14:42:00Z</dcterms:created>
  <dcterms:modified xsi:type="dcterms:W3CDTF">2019-01-16T15:00:00Z</dcterms:modified>
</cp:coreProperties>
</file>