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7026" w:rsidRDefault="00807026" w:rsidP="0006613D">
      <w:pPr>
        <w:jc w:val="center"/>
        <w:rPr>
          <w:b/>
        </w:rPr>
      </w:pPr>
      <w:bookmarkStart w:id="0" w:name="_GoBack"/>
      <w:bookmarkEnd w:id="0"/>
      <w:r>
        <w:rPr>
          <w:b/>
        </w:rPr>
        <w:t xml:space="preserve">OBRAZLOŽENJE </w:t>
      </w:r>
    </w:p>
    <w:p w:rsidR="0006613D" w:rsidRPr="0006613D" w:rsidRDefault="00807026" w:rsidP="0006613D">
      <w:pPr>
        <w:jc w:val="center"/>
        <w:rPr>
          <w:b/>
        </w:rPr>
      </w:pPr>
      <w:r>
        <w:rPr>
          <w:b/>
        </w:rPr>
        <w:t>UZ NACRT</w:t>
      </w:r>
      <w:r w:rsidR="0006613D" w:rsidRPr="0006613D">
        <w:rPr>
          <w:b/>
        </w:rPr>
        <w:t xml:space="preserve"> ODLUKE O VISI</w:t>
      </w:r>
      <w:r>
        <w:rPr>
          <w:b/>
        </w:rPr>
        <w:t>NI PAUŠALNOG POREZA PO KREVETU,</w:t>
      </w:r>
    </w:p>
    <w:p w:rsidR="0006613D" w:rsidRPr="0006613D" w:rsidRDefault="0006613D" w:rsidP="0006613D">
      <w:pPr>
        <w:jc w:val="center"/>
        <w:rPr>
          <w:b/>
        </w:rPr>
      </w:pPr>
      <w:r w:rsidRPr="0006613D">
        <w:rPr>
          <w:b/>
        </w:rPr>
        <w:t xml:space="preserve">SMJEŠTAJNOJ </w:t>
      </w:r>
      <w:r w:rsidR="00807026" w:rsidRPr="0006613D">
        <w:rPr>
          <w:b/>
        </w:rPr>
        <w:t>JEDINICI</w:t>
      </w:r>
      <w:r w:rsidR="00807026">
        <w:rPr>
          <w:b/>
        </w:rPr>
        <w:t xml:space="preserve"> U KAMP-ODREDIŠTU I SMJEŠTAJNOJ JEDINICI U OBJEKTU ZA ROBINZONSKI SMJEŠTAJ</w:t>
      </w:r>
    </w:p>
    <w:p w:rsidR="0006613D" w:rsidRDefault="0006613D" w:rsidP="0006613D"/>
    <w:p w:rsidR="0006613D" w:rsidRDefault="0006613D" w:rsidP="00B94940">
      <w:pPr>
        <w:spacing w:line="360" w:lineRule="auto"/>
        <w:jc w:val="both"/>
      </w:pPr>
      <w:r>
        <w:t xml:space="preserve">Izmjenama Zakona o porezu na dohodak (»Narodne novine«, br. 106/18.) JLS su, </w:t>
      </w:r>
      <w:r w:rsidR="00B94940">
        <w:t xml:space="preserve"> </w:t>
      </w:r>
      <w:r>
        <w:t>počev</w:t>
      </w:r>
      <w:r w:rsidR="00B94940">
        <w:t>ši</w:t>
      </w:r>
      <w:r>
        <w:t xml:space="preserve"> od 2019.godine, obvezne donijeti odluku kojom će propisati visine paušalnog poreza po krevetu odnosno po smještajnoj jedinici u kampu koje ne mogu biti manje od 150,00 kuna niti veće od 1500,00 kuna.</w:t>
      </w:r>
    </w:p>
    <w:p w:rsidR="0006613D" w:rsidRDefault="0006613D" w:rsidP="00B94940">
      <w:pPr>
        <w:spacing w:line="360" w:lineRule="auto"/>
        <w:jc w:val="both"/>
      </w:pPr>
      <w:r>
        <w:t>Nadalje Izmjenama Zakona propisano je da su predstavnička tijela JLS za 2019. godinu obvezna donijeti odluke o visini paušalnog poreza najkasnije do 31.siječnja 2019. koje se dostavljaju Poreznoj upravi najkasnije do 15.veljače.</w:t>
      </w:r>
    </w:p>
    <w:p w:rsidR="0006613D" w:rsidRDefault="0006613D" w:rsidP="00B94940">
      <w:pPr>
        <w:spacing w:line="360" w:lineRule="auto"/>
        <w:jc w:val="both"/>
      </w:pPr>
      <w:r>
        <w:t>Također je bitno naglasiti da ako predstavničko tijelo JLS ne donese odluku u propisanom roku, visina paušalnog poreza po krevetu odnosno po smještajnoj jedinici u kampu Zakonom je određena visina paušalnog poreza u iznosu od 750,00 kuna.</w:t>
      </w:r>
    </w:p>
    <w:p w:rsidR="0006613D" w:rsidRDefault="0006613D" w:rsidP="00B94940">
      <w:pPr>
        <w:spacing w:line="360" w:lineRule="auto"/>
        <w:jc w:val="both"/>
      </w:pPr>
    </w:p>
    <w:p w:rsidR="0006613D" w:rsidRDefault="0006613D" w:rsidP="00B94940">
      <w:pPr>
        <w:spacing w:line="360" w:lineRule="auto"/>
        <w:jc w:val="both"/>
      </w:pPr>
      <w:r>
        <w:t>Što se tiče dosadašnjeg zakonodavnog okvira, porezni obveznik koji je ostvarivao dohodak od iznajmljivanja stanova, soba i postelja putnicima i turistima i organiziranja kampova porez na dohodak po osnovi obavljanja te djelatnosti utvrđivao se također u paušalnom iznosu ali su visina paušalnog dohotka i poreza na dohodak, rokovi plaćanja poreza te evidencije i izvješća u svezi paušalnog oporezivanja bile propisane Pravilnikom Ministra financija (Narodne novine 1/17). Navedeno se primjenjivalo jedinstveno na čitavom području RH.</w:t>
      </w:r>
    </w:p>
    <w:p w:rsidR="0006613D" w:rsidRDefault="0006613D" w:rsidP="001846D1">
      <w:pPr>
        <w:spacing w:line="360" w:lineRule="auto"/>
      </w:pPr>
    </w:p>
    <w:p w:rsidR="0006613D" w:rsidRPr="00344EA2" w:rsidRDefault="0006613D" w:rsidP="00B94940">
      <w:pPr>
        <w:spacing w:line="360" w:lineRule="auto"/>
        <w:jc w:val="both"/>
      </w:pPr>
      <w:r>
        <w:t>Tako se prema odredbama navedenog Pravilnika godišnji paušalni porez na dohodak utvrđivao kao umnožak:</w:t>
      </w:r>
    </w:p>
    <w:tbl>
      <w:tblPr>
        <w:tblStyle w:val="TableGrid"/>
        <w:tblW w:w="5000" w:type="pct"/>
        <w:tblLook w:val="04A0" w:firstRow="1" w:lastRow="0" w:firstColumn="1" w:lastColumn="0" w:noHBand="0" w:noVBand="1"/>
      </w:tblPr>
      <w:tblGrid>
        <w:gridCol w:w="4709"/>
        <w:gridCol w:w="5430"/>
      </w:tblGrid>
      <w:tr w:rsidR="0006613D" w:rsidTr="00B94940">
        <w:trPr>
          <w:trHeight w:val="957"/>
        </w:trPr>
        <w:tc>
          <w:tcPr>
            <w:tcW w:w="2322" w:type="pct"/>
          </w:tcPr>
          <w:p w:rsidR="0006613D" w:rsidRDefault="0006613D" w:rsidP="001846D1">
            <w:r>
              <w:t xml:space="preserve">broj kreveta odnosno broja smještajnih jedinica u kampu </w:t>
            </w:r>
          </w:p>
        </w:tc>
        <w:tc>
          <w:tcPr>
            <w:tcW w:w="2678" w:type="pct"/>
          </w:tcPr>
          <w:p w:rsidR="0006613D" w:rsidRDefault="0006613D" w:rsidP="001846D1">
            <w:r>
              <w:t>visina paušalnog poreza po krevetu odnosno po smještajnoj jedinici u kampu odgovarajućeg koeficijenta područja /razreda turističkog mjesta.</w:t>
            </w:r>
          </w:p>
        </w:tc>
      </w:tr>
    </w:tbl>
    <w:p w:rsidR="000D685E" w:rsidRPr="00344EA2" w:rsidRDefault="000D685E" w:rsidP="001846D1">
      <w:pPr>
        <w:spacing w:line="360" w:lineRule="auto"/>
      </w:pPr>
    </w:p>
    <w:p w:rsidR="0006613D" w:rsidRDefault="0006613D" w:rsidP="00B94940">
      <w:pPr>
        <w:spacing w:line="360" w:lineRule="auto"/>
        <w:jc w:val="both"/>
      </w:pPr>
      <w:r>
        <w:t>Pravilnikom je nadalje bila i propisana visina paušalnog poreza po krevetu u iznosu od 300,00 kn po krevetu te visina paušalnog poreza po smještajnoj jedinici u kampu u iznosu od 350,00 kuna po smještajnoj jedinici u kampu. Tako da je visina poreza ovisno o turističkom razredu po krevetu iznosila kako slijedi:</w:t>
      </w:r>
    </w:p>
    <w:tbl>
      <w:tblPr>
        <w:tblStyle w:val="TableGrid"/>
        <w:tblW w:w="0" w:type="auto"/>
        <w:tblLook w:val="04A0" w:firstRow="1" w:lastRow="0" w:firstColumn="1" w:lastColumn="0" w:noHBand="0" w:noVBand="1"/>
      </w:tblPr>
      <w:tblGrid>
        <w:gridCol w:w="2027"/>
        <w:gridCol w:w="1483"/>
        <w:gridCol w:w="2573"/>
        <w:gridCol w:w="2028"/>
        <w:gridCol w:w="2028"/>
      </w:tblGrid>
      <w:tr w:rsidR="0006613D" w:rsidTr="00B94940">
        <w:trPr>
          <w:tblHeader/>
        </w:trPr>
        <w:tc>
          <w:tcPr>
            <w:tcW w:w="2027" w:type="dxa"/>
          </w:tcPr>
          <w:p w:rsidR="0006613D" w:rsidRDefault="0006613D" w:rsidP="001846D1">
            <w:r>
              <w:t>visina paušalnog poreza po krevetu</w:t>
            </w:r>
          </w:p>
        </w:tc>
        <w:tc>
          <w:tcPr>
            <w:tcW w:w="1483" w:type="dxa"/>
          </w:tcPr>
          <w:p w:rsidR="0006613D" w:rsidRDefault="0006613D" w:rsidP="001846D1">
            <w:r>
              <w:t>/razred turističkog mjesta</w:t>
            </w:r>
          </w:p>
        </w:tc>
        <w:tc>
          <w:tcPr>
            <w:tcW w:w="2573" w:type="dxa"/>
          </w:tcPr>
          <w:p w:rsidR="0006613D" w:rsidRDefault="0006613D" w:rsidP="001846D1">
            <w:r>
              <w:t xml:space="preserve">Naselja u </w:t>
            </w:r>
            <w:r w:rsidR="00807026">
              <w:t>općini Matulji</w:t>
            </w:r>
            <w:r>
              <w:t xml:space="preserve"> po razredima</w:t>
            </w:r>
          </w:p>
        </w:tc>
        <w:tc>
          <w:tcPr>
            <w:tcW w:w="2028" w:type="dxa"/>
          </w:tcPr>
          <w:p w:rsidR="0006613D" w:rsidRDefault="0006613D" w:rsidP="001846D1">
            <w:r>
              <w:t>Koeficijent područja</w:t>
            </w:r>
          </w:p>
        </w:tc>
        <w:tc>
          <w:tcPr>
            <w:tcW w:w="2028" w:type="dxa"/>
          </w:tcPr>
          <w:p w:rsidR="0006613D" w:rsidRDefault="0006613D" w:rsidP="001846D1">
            <w:r>
              <w:t>Godišnji paušalni iznos po krevetu</w:t>
            </w:r>
          </w:p>
          <w:p w:rsidR="0006613D" w:rsidRPr="0006613D" w:rsidRDefault="0006613D" w:rsidP="001846D1"/>
        </w:tc>
      </w:tr>
      <w:tr w:rsidR="0006613D" w:rsidTr="00B94940">
        <w:trPr>
          <w:tblHeader/>
        </w:trPr>
        <w:tc>
          <w:tcPr>
            <w:tcW w:w="2027" w:type="dxa"/>
            <w:vMerge w:val="restart"/>
            <w:vAlign w:val="center"/>
          </w:tcPr>
          <w:p w:rsidR="0006613D" w:rsidRDefault="0006613D" w:rsidP="001846D1">
            <w:pPr>
              <w:jc w:val="center"/>
            </w:pPr>
            <w:r>
              <w:t>300,00 kn</w:t>
            </w:r>
          </w:p>
        </w:tc>
        <w:tc>
          <w:tcPr>
            <w:tcW w:w="1483" w:type="dxa"/>
            <w:vAlign w:val="center"/>
          </w:tcPr>
          <w:p w:rsidR="0006613D" w:rsidRDefault="0006613D" w:rsidP="001846D1">
            <w:r>
              <w:t>A</w:t>
            </w:r>
          </w:p>
        </w:tc>
        <w:tc>
          <w:tcPr>
            <w:tcW w:w="2573" w:type="dxa"/>
          </w:tcPr>
          <w:p w:rsidR="0006613D" w:rsidRDefault="00807026" w:rsidP="001846D1">
            <w:r>
              <w:t>Matulji</w:t>
            </w:r>
          </w:p>
        </w:tc>
        <w:tc>
          <w:tcPr>
            <w:tcW w:w="2028" w:type="dxa"/>
            <w:vAlign w:val="center"/>
          </w:tcPr>
          <w:p w:rsidR="0006613D" w:rsidRDefault="0006613D" w:rsidP="001846D1">
            <w:pPr>
              <w:jc w:val="center"/>
            </w:pPr>
            <w:r>
              <w:t>1</w:t>
            </w:r>
          </w:p>
        </w:tc>
        <w:tc>
          <w:tcPr>
            <w:tcW w:w="2028" w:type="dxa"/>
            <w:vAlign w:val="center"/>
          </w:tcPr>
          <w:p w:rsidR="0006613D" w:rsidRDefault="00807026" w:rsidP="001846D1">
            <w:pPr>
              <w:jc w:val="center"/>
            </w:pPr>
            <w:r>
              <w:t>300,00 kn</w:t>
            </w:r>
          </w:p>
        </w:tc>
      </w:tr>
      <w:tr w:rsidR="0006613D" w:rsidTr="00B94940">
        <w:trPr>
          <w:tblHeader/>
        </w:trPr>
        <w:tc>
          <w:tcPr>
            <w:tcW w:w="2027" w:type="dxa"/>
            <w:vMerge/>
          </w:tcPr>
          <w:p w:rsidR="0006613D" w:rsidRDefault="0006613D" w:rsidP="001846D1"/>
        </w:tc>
        <w:tc>
          <w:tcPr>
            <w:tcW w:w="1483" w:type="dxa"/>
            <w:vAlign w:val="center"/>
          </w:tcPr>
          <w:p w:rsidR="0006613D" w:rsidRDefault="0006613D" w:rsidP="001846D1">
            <w:r>
              <w:t>B</w:t>
            </w:r>
          </w:p>
        </w:tc>
        <w:tc>
          <w:tcPr>
            <w:tcW w:w="2573" w:type="dxa"/>
          </w:tcPr>
          <w:p w:rsidR="0006613D" w:rsidRDefault="00807026" w:rsidP="001846D1">
            <w:r>
              <w:t>Jušići</w:t>
            </w:r>
          </w:p>
        </w:tc>
        <w:tc>
          <w:tcPr>
            <w:tcW w:w="2028" w:type="dxa"/>
            <w:vAlign w:val="center"/>
          </w:tcPr>
          <w:p w:rsidR="0006613D" w:rsidRDefault="0006613D" w:rsidP="001846D1">
            <w:pPr>
              <w:jc w:val="center"/>
            </w:pPr>
            <w:r>
              <w:t>0,85</w:t>
            </w:r>
          </w:p>
        </w:tc>
        <w:tc>
          <w:tcPr>
            <w:tcW w:w="2028" w:type="dxa"/>
            <w:vAlign w:val="center"/>
          </w:tcPr>
          <w:p w:rsidR="0006613D" w:rsidRDefault="00807026" w:rsidP="001846D1">
            <w:pPr>
              <w:jc w:val="center"/>
            </w:pPr>
            <w:r>
              <w:t>255,00 kn</w:t>
            </w:r>
          </w:p>
        </w:tc>
      </w:tr>
      <w:tr w:rsidR="0006613D" w:rsidTr="00B94940">
        <w:trPr>
          <w:trHeight w:val="85"/>
          <w:tblHeader/>
        </w:trPr>
        <w:tc>
          <w:tcPr>
            <w:tcW w:w="2027" w:type="dxa"/>
            <w:vMerge/>
          </w:tcPr>
          <w:p w:rsidR="0006613D" w:rsidRDefault="0006613D" w:rsidP="001846D1"/>
        </w:tc>
        <w:tc>
          <w:tcPr>
            <w:tcW w:w="1483" w:type="dxa"/>
            <w:vAlign w:val="center"/>
          </w:tcPr>
          <w:p w:rsidR="0006613D" w:rsidRDefault="0006613D" w:rsidP="001846D1">
            <w:r>
              <w:t>C</w:t>
            </w:r>
          </w:p>
        </w:tc>
        <w:tc>
          <w:tcPr>
            <w:tcW w:w="2573" w:type="dxa"/>
          </w:tcPr>
          <w:p w:rsidR="0006613D" w:rsidRDefault="00807026" w:rsidP="001846D1">
            <w:r>
              <w:t>Rupa, Bregi, Rukavac, Jurdani, Veli Brgud, Brešca, Permani, Ružići, Mučići</w:t>
            </w:r>
          </w:p>
        </w:tc>
        <w:tc>
          <w:tcPr>
            <w:tcW w:w="2028" w:type="dxa"/>
            <w:vAlign w:val="center"/>
          </w:tcPr>
          <w:p w:rsidR="0006613D" w:rsidRDefault="0006613D" w:rsidP="001846D1">
            <w:pPr>
              <w:jc w:val="center"/>
            </w:pPr>
            <w:r>
              <w:t>0,70</w:t>
            </w:r>
          </w:p>
        </w:tc>
        <w:tc>
          <w:tcPr>
            <w:tcW w:w="2028" w:type="dxa"/>
            <w:vAlign w:val="center"/>
          </w:tcPr>
          <w:p w:rsidR="0006613D" w:rsidRDefault="00807026" w:rsidP="001846D1">
            <w:pPr>
              <w:jc w:val="center"/>
            </w:pPr>
            <w:r>
              <w:t>210,00 kn</w:t>
            </w:r>
          </w:p>
        </w:tc>
      </w:tr>
      <w:tr w:rsidR="0006613D" w:rsidTr="00B94940">
        <w:trPr>
          <w:tblHeader/>
        </w:trPr>
        <w:tc>
          <w:tcPr>
            <w:tcW w:w="2027" w:type="dxa"/>
            <w:vMerge/>
          </w:tcPr>
          <w:p w:rsidR="0006613D" w:rsidRDefault="0006613D" w:rsidP="001846D1"/>
        </w:tc>
        <w:tc>
          <w:tcPr>
            <w:tcW w:w="1483" w:type="dxa"/>
            <w:vAlign w:val="center"/>
          </w:tcPr>
          <w:p w:rsidR="0006613D" w:rsidRDefault="0006613D" w:rsidP="001846D1">
            <w:r>
              <w:t>D (i ostali nerazvrstani)</w:t>
            </w:r>
          </w:p>
        </w:tc>
        <w:tc>
          <w:tcPr>
            <w:tcW w:w="2573" w:type="dxa"/>
          </w:tcPr>
          <w:p w:rsidR="0006613D" w:rsidRDefault="00807026" w:rsidP="001846D1">
            <w:r>
              <w:t xml:space="preserve">Mali Brgud, Pasjak, Zvoneća, Lipa, Šapjane, </w:t>
            </w:r>
            <w:r w:rsidR="00B94940">
              <w:t xml:space="preserve">Vele </w:t>
            </w:r>
            <w:r>
              <w:t xml:space="preserve">Mune, </w:t>
            </w:r>
            <w:r w:rsidR="00B94940">
              <w:t xml:space="preserve">Male Mune, </w:t>
            </w:r>
            <w:r>
              <w:t>Brdce, Zaluki, Žejane</w:t>
            </w:r>
          </w:p>
        </w:tc>
        <w:tc>
          <w:tcPr>
            <w:tcW w:w="2028" w:type="dxa"/>
            <w:vAlign w:val="center"/>
          </w:tcPr>
          <w:p w:rsidR="0006613D" w:rsidRDefault="0006613D" w:rsidP="001846D1">
            <w:pPr>
              <w:jc w:val="center"/>
            </w:pPr>
            <w:r>
              <w:t>0,50</w:t>
            </w:r>
          </w:p>
        </w:tc>
        <w:tc>
          <w:tcPr>
            <w:tcW w:w="2028" w:type="dxa"/>
            <w:vAlign w:val="center"/>
          </w:tcPr>
          <w:p w:rsidR="0006613D" w:rsidRDefault="00807026" w:rsidP="001846D1">
            <w:pPr>
              <w:jc w:val="center"/>
            </w:pPr>
            <w:r>
              <w:t>150,00 kn</w:t>
            </w:r>
          </w:p>
        </w:tc>
      </w:tr>
    </w:tbl>
    <w:p w:rsidR="0006613D" w:rsidRDefault="0006613D" w:rsidP="001846D1">
      <w:pPr>
        <w:spacing w:line="360" w:lineRule="auto"/>
      </w:pPr>
    </w:p>
    <w:p w:rsidR="0006613D" w:rsidRDefault="0006613D" w:rsidP="001846D1">
      <w:pPr>
        <w:spacing w:line="360" w:lineRule="auto"/>
      </w:pPr>
    </w:p>
    <w:p w:rsidR="0006613D" w:rsidRDefault="0006613D" w:rsidP="00B94940">
      <w:pPr>
        <w:spacing w:line="360" w:lineRule="auto"/>
        <w:jc w:val="both"/>
      </w:pPr>
      <w:r>
        <w:t>Nadalje, dana 07.12.2018.godine na Javnom je savjetovanju objavljen nacrt novog Pravilnika o paušalnom oporezivanju djelatnosti iznajmljivanja i organiziranja smještaja u turizmu. Pravilnikom su propisani kriteriji po kojima će predstavničko tijelo jedinice lokalne samouprave propisati visinu paušalnog poreza na dohodak i djelatnosti iz članka 57. stavka 2. Zakona o porezu na dohodak koje se mogu paušalno oporezivati, visinu i način utvrđivanja godišnjega paušalnog dohotka godišnjega paušalnog poreza na dohodak i prireza porezu na dohodak, rokove plaćanja poreza, evidencije i izvješća, te druge odredbe bitne za provedbu paušalnog oporezivanja u skladu s člankom 82. stavkom 9. Zakona.</w:t>
      </w:r>
    </w:p>
    <w:p w:rsidR="00807026" w:rsidRDefault="00807026" w:rsidP="001846D1">
      <w:pPr>
        <w:spacing w:line="360" w:lineRule="auto"/>
      </w:pPr>
    </w:p>
    <w:p w:rsidR="00807026" w:rsidRDefault="00807026" w:rsidP="00B94940">
      <w:pPr>
        <w:spacing w:line="360" w:lineRule="auto"/>
        <w:jc w:val="both"/>
      </w:pPr>
      <w:r>
        <w:t xml:space="preserve">Što se tiče postupanja JLS i sadržaja odluka koje je potrebne donijeti, pod uvjetom da Pravilnik u konačnici u ovom obliku stupi na snagu, ključno je slijedeće: </w:t>
      </w:r>
    </w:p>
    <w:p w:rsidR="00807026" w:rsidRDefault="00807026" w:rsidP="00B94940">
      <w:pPr>
        <w:spacing w:line="360" w:lineRule="auto"/>
        <w:jc w:val="both"/>
      </w:pPr>
      <w:r>
        <w:t xml:space="preserve">1. Predstavničko tijelo jedinice lokalne samouprave donosi Odluku kojom se utvrđuje: </w:t>
      </w:r>
    </w:p>
    <w:p w:rsidR="00807026" w:rsidRDefault="00807026" w:rsidP="00B94940">
      <w:pPr>
        <w:spacing w:line="360" w:lineRule="auto"/>
        <w:ind w:firstLine="720"/>
        <w:jc w:val="both"/>
      </w:pPr>
      <w:r>
        <w:t xml:space="preserve">a. visina paušalnog poreza po krevetu, </w:t>
      </w:r>
    </w:p>
    <w:p w:rsidR="00807026" w:rsidRDefault="00807026" w:rsidP="00B94940">
      <w:pPr>
        <w:spacing w:line="360" w:lineRule="auto"/>
        <w:ind w:firstLine="720"/>
        <w:jc w:val="both"/>
      </w:pPr>
      <w:r>
        <w:t xml:space="preserve">b. visina paušalnog poreza po smještajnoj jedinici u kampu i/ili kamp-odmorištu i </w:t>
      </w:r>
    </w:p>
    <w:p w:rsidR="00807026" w:rsidRDefault="00807026" w:rsidP="00B94940">
      <w:pPr>
        <w:spacing w:line="360" w:lineRule="auto"/>
        <w:ind w:firstLine="720"/>
        <w:jc w:val="both"/>
      </w:pPr>
      <w:r>
        <w:t xml:space="preserve">c. visina paušalnog poreza po smještajnoj jedinici u objektu za robinzonski smještaj (navedeno nije propisano Zakonom). </w:t>
      </w:r>
    </w:p>
    <w:p w:rsidR="00807026" w:rsidRDefault="00807026" w:rsidP="001846D1">
      <w:pPr>
        <w:spacing w:line="360" w:lineRule="auto"/>
      </w:pPr>
    </w:p>
    <w:p w:rsidR="00807026" w:rsidRDefault="00807026" w:rsidP="00B94940">
      <w:pPr>
        <w:spacing w:line="360" w:lineRule="auto"/>
        <w:jc w:val="both"/>
      </w:pPr>
      <w:r>
        <w:t xml:space="preserve">2. Visinu paušalnog poreza prema članku 2. stavku 3. ovoga Pravilnika predstavničko tijelo jedinice lokalne samouprave donosi za područje naselja u kojem se djelatnosti iznajmljivanja i smještaja u turizmu pružaju, a iznimno može donijeti odluku o visini paušalnog poreza prema ulicama u naselju. </w:t>
      </w:r>
    </w:p>
    <w:p w:rsidR="00807026" w:rsidRDefault="00807026" w:rsidP="00B94940">
      <w:pPr>
        <w:spacing w:line="360" w:lineRule="auto"/>
        <w:jc w:val="both"/>
      </w:pPr>
    </w:p>
    <w:p w:rsidR="00807026" w:rsidRDefault="00807026" w:rsidP="00B94940">
      <w:pPr>
        <w:spacing w:line="360" w:lineRule="auto"/>
        <w:jc w:val="both"/>
      </w:pPr>
      <w:r>
        <w:t xml:space="preserve">3. Rok za donošenje Odluke o visini poreza za 2019. godinu je 31.01.2019.godine, odluka se svake godine može mijenjati do 15.prosnica tekuće sa primjenom od iduće godine. </w:t>
      </w:r>
    </w:p>
    <w:p w:rsidR="00807026" w:rsidRDefault="00807026" w:rsidP="00B94940">
      <w:pPr>
        <w:spacing w:line="360" w:lineRule="auto"/>
        <w:jc w:val="both"/>
      </w:pPr>
    </w:p>
    <w:p w:rsidR="00807026" w:rsidRDefault="00807026" w:rsidP="00B94940">
      <w:pPr>
        <w:spacing w:line="360" w:lineRule="auto"/>
        <w:jc w:val="both"/>
      </w:pPr>
      <w:r>
        <w:t xml:space="preserve">Dakle, prema nacrtu Pravilnika način utvrđivanja godišnjeg poreza u bitnome se neće promijeniti budući je do sada isti bio utvrđivan ovisno o turističkom razredu gdje se objekt nalazio, a turistički razredi su bili definirani na razini naselja. </w:t>
      </w:r>
    </w:p>
    <w:p w:rsidR="00807026" w:rsidRDefault="00807026" w:rsidP="00B94940">
      <w:pPr>
        <w:spacing w:line="360" w:lineRule="auto"/>
        <w:jc w:val="both"/>
      </w:pPr>
    </w:p>
    <w:p w:rsidR="00807026" w:rsidRDefault="00807026" w:rsidP="00B94940">
      <w:pPr>
        <w:spacing w:line="360" w:lineRule="auto"/>
        <w:jc w:val="both"/>
      </w:pPr>
      <w:r>
        <w:t xml:space="preserve">Iznos godišnjega paušalnog poreza na dohodak uvećava se za prirez porezu na dohodak, koji je uveden odlukom jedinice lokalne samouprave prema prebivalištu ili uobičajenom boravištu poreznog obveznika. </w:t>
      </w:r>
    </w:p>
    <w:p w:rsidR="00807026" w:rsidRDefault="00807026" w:rsidP="00B94940">
      <w:pPr>
        <w:spacing w:line="360" w:lineRule="auto"/>
        <w:jc w:val="both"/>
      </w:pPr>
    </w:p>
    <w:p w:rsidR="00807026" w:rsidRDefault="00807026" w:rsidP="00B94940">
      <w:pPr>
        <w:spacing w:line="360" w:lineRule="auto"/>
        <w:jc w:val="both"/>
      </w:pPr>
      <w:r>
        <w:t xml:space="preserve">Također podsjećamo da se ostvareni prihod od ovog oblika poreza na dohodak dijeli između JLS i Županija na način da JLS pripada 60%, i to onoj JLS gdje je prebivalište obveznika, a ne gdje se nalazi smještajni objekt. To znači da iznos paušalnog poreza koji plaća osoba koja živi u Zagrebu, a ima sobe, apartmane ili kuću za odmor u Matuljima, pripada Gradu Zagrebu. Bitno je naglasiti da i nadalje sve poslove vezane uz utvrđivanje i naplatu poreza i nadalje obavlja Porezna uprava. Prijedlog Odluke izrađen je nakon provedenih konzultacija svih JLS na području Liburnije na kojima je usuglašeno da će visina paušalnog poreza po krevetu odgovarati visini boravišne pristojbe za 2019. godinu odnosno da će </w:t>
      </w:r>
      <w:r w:rsidRPr="00807026">
        <w:rPr>
          <w:u w:val="single"/>
        </w:rPr>
        <w:t>iznositi najviše 345 kuna po krevetu odnosno smještajnoj jedinici</w:t>
      </w:r>
      <w:r>
        <w:t xml:space="preserve">. Najviša visina poreza odnositi će se kao i do sada za ona naselja u općini Matulji koja su razvrstana u A razred turističkih mjesta. </w:t>
      </w:r>
    </w:p>
    <w:p w:rsidR="00807026" w:rsidRDefault="00807026" w:rsidP="00B94940">
      <w:pPr>
        <w:spacing w:line="360" w:lineRule="auto"/>
        <w:jc w:val="both"/>
      </w:pPr>
    </w:p>
    <w:p w:rsidR="00807026" w:rsidRDefault="001846D1" w:rsidP="00B94940">
      <w:pPr>
        <w:spacing w:line="360" w:lineRule="auto"/>
        <w:jc w:val="both"/>
      </w:pPr>
      <w:r>
        <w:t>S obzirom da je Pravilnik o paušalnom oporezivanju djelatnosti iznajmljivanja i organiziranja smještaja u turizmu stupio na snagu 02. siječnja 2019. godine, a isti je pravni osnov za donošenje predložene odluke,  javno savjetovanje će trajati 15 dana, a provesti će se od</w:t>
      </w:r>
      <w:r w:rsidR="00B94940">
        <w:t xml:space="preserve"> 16</w:t>
      </w:r>
      <w:r w:rsidR="00807026">
        <w:t xml:space="preserve">. siječnja do 30. siječnja 2019. godine do kada svi zainteresirani mogu dati svoje prijedloge i sugestije na tekst Odluke poštom ili na e mail adresu: </w:t>
      </w:r>
      <w:hyperlink r:id="rId9" w:history="1">
        <w:r w:rsidR="00807026" w:rsidRPr="007F5738">
          <w:rPr>
            <w:rStyle w:val="Hyperlink"/>
          </w:rPr>
          <w:t>opcina.matulji@matulji.hr</w:t>
        </w:r>
      </w:hyperlink>
      <w:r w:rsidR="00807026">
        <w:t xml:space="preserve"> na obrascu</w:t>
      </w:r>
      <w:r>
        <w:t xml:space="preserve"> </w:t>
      </w:r>
      <w:r w:rsidR="00807026">
        <w:t xml:space="preserve"> koji se nalazi u privitku.</w:t>
      </w:r>
    </w:p>
    <w:p w:rsidR="00807026" w:rsidRDefault="00807026" w:rsidP="001846D1">
      <w:pPr>
        <w:spacing w:line="360" w:lineRule="auto"/>
      </w:pPr>
    </w:p>
    <w:p w:rsidR="0006613D" w:rsidRPr="00344EA2" w:rsidRDefault="0006613D" w:rsidP="001846D1">
      <w:pPr>
        <w:spacing w:line="360" w:lineRule="auto"/>
        <w:jc w:val="both"/>
        <w:rPr>
          <w:rFonts w:eastAsia="Times New Roman"/>
          <w:color w:val="000000"/>
        </w:rPr>
      </w:pPr>
      <w:r w:rsidRPr="00344EA2">
        <w:rPr>
          <w:rFonts w:eastAsia="Times New Roman"/>
        </w:rPr>
        <w:t xml:space="preserve">KLASA:  </w:t>
      </w:r>
      <w:r>
        <w:rPr>
          <w:rFonts w:eastAsia="Times New Roman"/>
        </w:rPr>
        <w:t xml:space="preserve"> </w:t>
      </w:r>
      <w:r w:rsidRPr="00344EA2">
        <w:fldChar w:fldCharType="begin" w:fldLock="1">
          <w:ffData>
            <w:name w:val="Klasa"/>
            <w:enabled/>
            <w:calcOnExit w:val="0"/>
            <w:textInput>
              <w:default w:val="011-01/19-01/0003"/>
            </w:textInput>
          </w:ffData>
        </w:fldChar>
      </w:r>
      <w:r w:rsidRPr="00344EA2">
        <w:instrText xml:space="preserve"> FORMTEXT </w:instrText>
      </w:r>
      <w:r w:rsidRPr="00344EA2">
        <w:fldChar w:fldCharType="separate"/>
      </w:r>
      <w:r w:rsidR="00984AC7">
        <w:t>011-01/19-01/0003</w:t>
      </w:r>
      <w:r w:rsidRPr="00344EA2">
        <w:fldChar w:fldCharType="end"/>
      </w:r>
      <w:r w:rsidRPr="00344EA2">
        <w:t xml:space="preserve"> </w:t>
      </w:r>
    </w:p>
    <w:p w:rsidR="0006613D" w:rsidRDefault="0006613D" w:rsidP="001846D1">
      <w:pPr>
        <w:spacing w:line="360" w:lineRule="auto"/>
        <w:jc w:val="both"/>
        <w:rPr>
          <w:rFonts w:eastAsia="Times New Roman"/>
        </w:rPr>
      </w:pPr>
      <w:r w:rsidRPr="00344EA2">
        <w:rPr>
          <w:rFonts w:eastAsia="Times New Roman"/>
          <w:color w:val="000000"/>
        </w:rPr>
        <w:t>URBROJ</w:t>
      </w:r>
      <w:r w:rsidRPr="00344EA2">
        <w:rPr>
          <w:rFonts w:eastAsia="Times New Roman"/>
        </w:rPr>
        <w:t xml:space="preserve">: </w:t>
      </w:r>
      <w:r w:rsidRPr="00344EA2">
        <w:fldChar w:fldCharType="begin" w:fldLock="1">
          <w:ffData>
            <w:name w:val="Urbroj"/>
            <w:enabled/>
            <w:calcOnExit w:val="0"/>
            <w:textInput/>
          </w:ffData>
        </w:fldChar>
      </w:r>
      <w:bookmarkStart w:id="1" w:name="Urbroj"/>
      <w:r w:rsidRPr="00344EA2">
        <w:instrText xml:space="preserve"> FORMTEXT </w:instrText>
      </w:r>
      <w:r w:rsidRPr="00344EA2">
        <w:fldChar w:fldCharType="separate"/>
      </w:r>
      <w:r w:rsidR="00984AC7">
        <w:t> </w:t>
      </w:r>
      <w:r w:rsidR="00984AC7">
        <w:t> </w:t>
      </w:r>
      <w:r w:rsidR="00984AC7">
        <w:t> </w:t>
      </w:r>
      <w:r w:rsidR="00984AC7">
        <w:t> </w:t>
      </w:r>
      <w:r w:rsidR="00984AC7">
        <w:t> </w:t>
      </w:r>
      <w:r w:rsidRPr="00344EA2">
        <w:fldChar w:fldCharType="end"/>
      </w:r>
      <w:bookmarkEnd w:id="1"/>
      <w:r w:rsidRPr="00344EA2">
        <w:rPr>
          <w:rFonts w:eastAsia="Times New Roman"/>
        </w:rPr>
        <w:t xml:space="preserve"> </w:t>
      </w:r>
    </w:p>
    <w:p w:rsidR="00B94940" w:rsidRDefault="00B94940" w:rsidP="00B94940">
      <w:pPr>
        <w:spacing w:line="360" w:lineRule="auto"/>
      </w:pPr>
      <w:r w:rsidRPr="00344EA2">
        <w:t xml:space="preserve">Matulji, </w:t>
      </w:r>
      <w:r>
        <w:t>16. 01.2019.</w:t>
      </w:r>
      <w:r w:rsidRPr="00344EA2">
        <w:t xml:space="preserve"> </w:t>
      </w:r>
    </w:p>
    <w:p w:rsidR="00B94940" w:rsidRDefault="00B94940" w:rsidP="00B94940">
      <w:pPr>
        <w:spacing w:line="360" w:lineRule="auto"/>
      </w:pPr>
    </w:p>
    <w:p w:rsidR="00B94940" w:rsidRPr="00344EA2" w:rsidRDefault="00B94940" w:rsidP="001846D1">
      <w:pPr>
        <w:spacing w:line="360" w:lineRule="auto"/>
        <w:jc w:val="both"/>
        <w:rPr>
          <w:rFonts w:eastAsia="Times New Roman"/>
        </w:rPr>
      </w:pPr>
    </w:p>
    <w:tbl>
      <w:tblPr>
        <w:tblStyle w:val="TableGrid"/>
        <w:tblW w:w="4111" w:type="dxa"/>
        <w:tblInd w:w="5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807026" w:rsidRPr="00B94940" w:rsidTr="00B94940">
        <w:trPr>
          <w:trHeight w:val="419"/>
        </w:trPr>
        <w:tc>
          <w:tcPr>
            <w:tcW w:w="4111" w:type="dxa"/>
            <w:vAlign w:val="center"/>
          </w:tcPr>
          <w:p w:rsidR="00807026" w:rsidRPr="00B94940" w:rsidRDefault="00B94940" w:rsidP="001846D1">
            <w:pPr>
              <w:spacing w:line="360" w:lineRule="auto"/>
              <w:jc w:val="center"/>
            </w:pPr>
            <w:r w:rsidRPr="00B94940">
              <w:t>Općinski načelnik Općine Matulji</w:t>
            </w:r>
          </w:p>
          <w:p w:rsidR="001846D1" w:rsidRPr="00B94940" w:rsidRDefault="001846D1" w:rsidP="001846D1">
            <w:pPr>
              <w:spacing w:line="360" w:lineRule="auto"/>
            </w:pPr>
          </w:p>
          <w:p w:rsidR="001846D1" w:rsidRPr="00B94940" w:rsidRDefault="001846D1" w:rsidP="001846D1">
            <w:pPr>
              <w:spacing w:line="360" w:lineRule="auto"/>
            </w:pPr>
          </w:p>
          <w:p w:rsidR="00B94940" w:rsidRPr="00B94940" w:rsidRDefault="00B94940" w:rsidP="00B94940">
            <w:pPr>
              <w:spacing w:line="360" w:lineRule="auto"/>
              <w:jc w:val="center"/>
            </w:pPr>
            <w:r w:rsidRPr="00B94940">
              <w:t>Mario</w:t>
            </w:r>
            <w:r>
              <w:t xml:space="preserve"> </w:t>
            </w:r>
            <w:r w:rsidRPr="00B94940">
              <w:t>Ćiković</w:t>
            </w:r>
          </w:p>
        </w:tc>
      </w:tr>
    </w:tbl>
    <w:p w:rsidR="000F45A1" w:rsidRPr="00344EA2" w:rsidRDefault="000F45A1" w:rsidP="001846D1">
      <w:pPr>
        <w:spacing w:line="360" w:lineRule="auto"/>
      </w:pPr>
    </w:p>
    <w:sectPr w:rsidR="000F45A1" w:rsidRPr="00344EA2" w:rsidSect="000F45A1">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34" w:rsidRDefault="00DD2334" w:rsidP="007C7695">
      <w:r>
        <w:separator/>
      </w:r>
    </w:p>
  </w:endnote>
  <w:endnote w:type="continuationSeparator" w:id="0">
    <w:p w:rsidR="00DD2334" w:rsidRDefault="00DD2334" w:rsidP="007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26" w:rsidRDefault="00807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0F45A1" w:rsidTr="000F45A1">
      <w:trPr>
        <w:trHeight w:val="411"/>
      </w:trPr>
      <w:tc>
        <w:tcPr>
          <w:tcW w:w="3169" w:type="dxa"/>
          <w:vAlign w:val="center"/>
        </w:tcPr>
        <w:p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7C7695"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5F51D7">
            <w:rPr>
              <w:rStyle w:val="PageNumber"/>
              <w:rFonts w:asciiTheme="minorHAnsi" w:hAnsiTheme="minorHAnsi"/>
              <w:noProof/>
              <w:sz w:val="16"/>
            </w:rPr>
            <w:t>3</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5F51D7" w:rsidRPr="005F51D7">
            <w:rPr>
              <w:rFonts w:asciiTheme="minorHAnsi" w:hAnsiTheme="minorHAnsi"/>
              <w:noProof/>
              <w:sz w:val="16"/>
            </w:rPr>
            <w:t>3</w:t>
          </w:r>
          <w:r w:rsidR="00553E97" w:rsidRPr="000F45A1">
            <w:rPr>
              <w:rFonts w:asciiTheme="minorHAnsi" w:hAnsiTheme="minorHAnsi"/>
              <w:noProof/>
              <w:sz w:val="16"/>
            </w:rPr>
            <w:fldChar w:fldCharType="end"/>
          </w:r>
        </w:p>
      </w:tc>
    </w:tr>
    <w:bookmarkEnd w:id="2"/>
    <w:bookmarkEnd w:id="3"/>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7C7695" w:rsidRPr="00D43FE0"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34" w:rsidRDefault="00DD2334" w:rsidP="007C7695">
      <w:r>
        <w:separator/>
      </w:r>
    </w:p>
  </w:footnote>
  <w:footnote w:type="continuationSeparator" w:id="0">
    <w:p w:rsidR="00DD2334" w:rsidRDefault="00DD2334" w:rsidP="007C7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26" w:rsidRDefault="00807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26" w:rsidRDefault="00807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795CF9" w:rsidRPr="00344EA2" w:rsidTr="0006613D">
      <w:trPr>
        <w:trHeight w:val="95"/>
      </w:trPr>
      <w:tc>
        <w:tcPr>
          <w:tcW w:w="4503" w:type="dxa"/>
        </w:tcPr>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FEA267E"/>
    <w:multiLevelType w:val="hybridMultilevel"/>
    <w:tmpl w:val="A1221CE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A7C181C"/>
    <w:multiLevelType w:val="hybridMultilevel"/>
    <w:tmpl w:val="A67C85E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7C274821"/>
    <w:multiLevelType w:val="hybridMultilevel"/>
    <w:tmpl w:val="F56A77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251FA"/>
    <w:rsid w:val="0006613D"/>
    <w:rsid w:val="000760E5"/>
    <w:rsid w:val="000918CA"/>
    <w:rsid w:val="000A28BA"/>
    <w:rsid w:val="000A3D60"/>
    <w:rsid w:val="000B01C3"/>
    <w:rsid w:val="000B630B"/>
    <w:rsid w:val="000D3B21"/>
    <w:rsid w:val="000D685E"/>
    <w:rsid w:val="000F45A1"/>
    <w:rsid w:val="00163436"/>
    <w:rsid w:val="001846D1"/>
    <w:rsid w:val="001C3B0B"/>
    <w:rsid w:val="00255637"/>
    <w:rsid w:val="00270028"/>
    <w:rsid w:val="002E388A"/>
    <w:rsid w:val="002E4164"/>
    <w:rsid w:val="002F2BF2"/>
    <w:rsid w:val="00332354"/>
    <w:rsid w:val="00344EA2"/>
    <w:rsid w:val="0037330A"/>
    <w:rsid w:val="00396DE7"/>
    <w:rsid w:val="003A7004"/>
    <w:rsid w:val="003B22B2"/>
    <w:rsid w:val="003C02B5"/>
    <w:rsid w:val="003D1B99"/>
    <w:rsid w:val="003F1FE2"/>
    <w:rsid w:val="00451E22"/>
    <w:rsid w:val="004E4789"/>
    <w:rsid w:val="00553E97"/>
    <w:rsid w:val="005A30E6"/>
    <w:rsid w:val="005A5AFD"/>
    <w:rsid w:val="005F51D7"/>
    <w:rsid w:val="00641273"/>
    <w:rsid w:val="00655AFE"/>
    <w:rsid w:val="00671CA7"/>
    <w:rsid w:val="00681F29"/>
    <w:rsid w:val="006D71F9"/>
    <w:rsid w:val="0074389F"/>
    <w:rsid w:val="00765C52"/>
    <w:rsid w:val="00795CF9"/>
    <w:rsid w:val="007C7695"/>
    <w:rsid w:val="007F580B"/>
    <w:rsid w:val="00805EF1"/>
    <w:rsid w:val="00807026"/>
    <w:rsid w:val="00816A89"/>
    <w:rsid w:val="00840B2A"/>
    <w:rsid w:val="00981900"/>
    <w:rsid w:val="00984AC7"/>
    <w:rsid w:val="00987DC7"/>
    <w:rsid w:val="0099027C"/>
    <w:rsid w:val="009A1489"/>
    <w:rsid w:val="00A97573"/>
    <w:rsid w:val="00B94940"/>
    <w:rsid w:val="00BE2CB0"/>
    <w:rsid w:val="00C501FD"/>
    <w:rsid w:val="00C63421"/>
    <w:rsid w:val="00C95FD2"/>
    <w:rsid w:val="00CD3CAA"/>
    <w:rsid w:val="00D10C74"/>
    <w:rsid w:val="00D13821"/>
    <w:rsid w:val="00D36435"/>
    <w:rsid w:val="00D43FE0"/>
    <w:rsid w:val="00DA3B80"/>
    <w:rsid w:val="00DB5ECD"/>
    <w:rsid w:val="00DD2334"/>
    <w:rsid w:val="00DD577A"/>
    <w:rsid w:val="00DE508E"/>
    <w:rsid w:val="00E55C93"/>
    <w:rsid w:val="00F15884"/>
    <w:rsid w:val="00F57C58"/>
    <w:rsid w:val="00FB7692"/>
    <w:rsid w:val="00FD5611"/>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pcina.matulji@matulji.h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F796-9B5B-4BEE-A7CB-3859686A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4</cp:revision>
  <cp:lastPrinted>2019-01-16T14:34:00Z</cp:lastPrinted>
  <dcterms:created xsi:type="dcterms:W3CDTF">2019-01-16T14:12:00Z</dcterms:created>
  <dcterms:modified xsi:type="dcterms:W3CDTF">2019-01-16T14:34:00Z</dcterms:modified>
</cp:coreProperties>
</file>