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7" w:rsidRDefault="00054E27" w:rsidP="00054E27">
      <w:pPr>
        <w:widowControl/>
        <w:overflowPunct/>
        <w:autoSpaceDE/>
        <w:adjustRightInd/>
        <w:spacing w:after="200" w:line="276" w:lineRule="auto"/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b/>
          <w:sz w:val="24"/>
          <w:szCs w:val="24"/>
          <w:u w:val="single"/>
        </w:rPr>
        <w:t>IZVJEŠĆE S ODRŽANOG JAVNOG SAVJETOVANJA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054E27" w:rsidTr="00FD15A3">
        <w:trPr>
          <w:trHeight w:val="85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NAZIV AKTA/TEME SAVJETOVANJA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Nacrt prijedloga Odluke o kriterijima za sufinanciranje djece u predškolskim ustanovama u ostalim gradovima i općinama</w:t>
            </w:r>
          </w:p>
        </w:tc>
      </w:tr>
      <w:tr w:rsidR="00054E27" w:rsidTr="00FD15A3">
        <w:trPr>
          <w:trHeight w:val="551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RAZDOBLJE TRAJANJA SAVJETOVANJA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 siječnja 2019. – 30. siječnja 2019.</w:t>
            </w:r>
          </w:p>
        </w:tc>
      </w:tr>
    </w:tbl>
    <w:p w:rsidR="00054E27" w:rsidRDefault="00054E27" w:rsidP="00054E27">
      <w:pPr>
        <w:rPr>
          <w:rFonts w:eastAsia="Calibri"/>
          <w:sz w:val="24"/>
          <w:szCs w:val="24"/>
          <w:lang w:val="hr-HR"/>
        </w:rPr>
      </w:pPr>
    </w:p>
    <w:tbl>
      <w:tblPr>
        <w:tblStyle w:val="TableGrid1"/>
        <w:tblpPr w:leftFromText="180" w:rightFromText="180" w:vertAnchor="text" w:horzAnchor="margin" w:tblpY="48"/>
        <w:tblW w:w="92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6"/>
        <w:gridCol w:w="2466"/>
        <w:gridCol w:w="2562"/>
        <w:gridCol w:w="1982"/>
      </w:tblGrid>
      <w:tr w:rsidR="00054E27" w:rsidTr="00FD15A3">
        <w:trPr>
          <w:trHeight w:val="59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NAZIV UČESNIKA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PRIJEDLOG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OČITOVANJE PREDLAGATELJA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054E27" w:rsidTr="00FD15A3">
        <w:trPr>
          <w:trHeight w:val="79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7" w:rsidRDefault="00826846" w:rsidP="00826846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054E27">
              <w:rPr>
                <w:rFonts w:eastAsia="Calibri"/>
                <w:sz w:val="24"/>
                <w:szCs w:val="24"/>
              </w:rPr>
              <w:t xml:space="preserve">učesnik </w:t>
            </w:r>
            <w:proofErr w:type="spellStart"/>
            <w:r w:rsidR="00054E27">
              <w:rPr>
                <w:rFonts w:eastAsia="Calibri"/>
                <w:sz w:val="24"/>
                <w:szCs w:val="24"/>
              </w:rPr>
              <w:t>I.A</w:t>
            </w:r>
            <w:proofErr w:type="spellEnd"/>
            <w:r w:rsidR="00054E27">
              <w:rPr>
                <w:rFonts w:eastAsia="Calibri"/>
                <w:sz w:val="24"/>
                <w:szCs w:val="24"/>
              </w:rPr>
              <w:t xml:space="preserve">., učesnica S.A., </w:t>
            </w:r>
            <w:r w:rsidR="00054E27">
              <w:t xml:space="preserve"> </w:t>
            </w:r>
            <w:r w:rsidR="00054E27" w:rsidRPr="00054E27">
              <w:rPr>
                <w:rFonts w:eastAsia="Calibri"/>
                <w:sz w:val="24"/>
                <w:szCs w:val="24"/>
              </w:rPr>
              <w:t xml:space="preserve">učesnica </w:t>
            </w:r>
            <w:r w:rsidR="00054E27">
              <w:rPr>
                <w:rFonts w:eastAsia="Calibri"/>
                <w:sz w:val="24"/>
                <w:szCs w:val="24"/>
              </w:rPr>
              <w:t xml:space="preserve">M.S.M., </w:t>
            </w:r>
            <w:r>
              <w:rPr>
                <w:rFonts w:eastAsia="Calibri"/>
                <w:sz w:val="24"/>
                <w:szCs w:val="24"/>
              </w:rPr>
              <w:t xml:space="preserve">učesnik </w:t>
            </w:r>
            <w:proofErr w:type="spellStart"/>
            <w:r>
              <w:rPr>
                <w:rFonts w:eastAsia="Calibri"/>
                <w:sz w:val="24"/>
                <w:szCs w:val="24"/>
              </w:rPr>
              <w:t>M.M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., učesnica </w:t>
            </w:r>
            <w:proofErr w:type="spellStart"/>
            <w:r>
              <w:rPr>
                <w:rFonts w:eastAsia="Calibri"/>
                <w:sz w:val="24"/>
                <w:szCs w:val="24"/>
              </w:rPr>
              <w:t>V.V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., učesnik </w:t>
            </w:r>
            <w:proofErr w:type="spellStart"/>
            <w:r>
              <w:rPr>
                <w:rFonts w:eastAsia="Calibri"/>
                <w:sz w:val="24"/>
                <w:szCs w:val="24"/>
              </w:rPr>
              <w:t>R.M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i učesnica </w:t>
            </w:r>
            <w:proofErr w:type="spellStart"/>
            <w:r>
              <w:rPr>
                <w:rFonts w:eastAsia="Calibri"/>
                <w:sz w:val="24"/>
                <w:szCs w:val="24"/>
              </w:rPr>
              <w:t>L.M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="00054E27">
              <w:rPr>
                <w:rFonts w:eastAsia="Calibri"/>
                <w:sz w:val="24"/>
                <w:szCs w:val="24"/>
              </w:rPr>
              <w:t xml:space="preserve"> </w:t>
            </w:r>
            <w:r w:rsidR="00054E27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Člankom 11. Odluke propisano je da roditelj/skrbnik djeteta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može ostvariti upis u drugi vrtić u gradovima i općinama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Primorsko - goranske županije ukoliko je pripadnik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nacionalne manjine, a dječji vrtić u koji želi upisati dijete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registriran je za provođenje programa na jeziku i pismu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nacionalnih manjina i ima sve potrebne licence za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provođenje navedenog programa. Ova iznimka se ne odnosi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na dječje vrtiće koji imaju programe za rano učenje stranog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jezika (odnosno nastava im je organizirana na način kao i u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Dječjem vrtiću - talijanska i engleska skupina) već na vrtiće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u kojima je nastava organizirana za nacionalnu manjinu.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S obzirom da se prema odredbi članka 3 stavak 2 Zakona o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predškolskom odgoju i obrazovanju (NN 10/97, 107/07 i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94/13) predškolski odgoj ostvaruje u skladu s razvojnim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osobinama i potrebama djeteta, te socijalnim, kulturnim,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vjerskim i drugim potrebama obitelji, smatramo da je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ovakvom Odlukom uskraćeno pravo na sufinanciranje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smještaja djeteta u vrtićima koji provode odgoj djece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prema kršćanskim načelima. Nadalje, budući se pravo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sufinanciranja priznaje pripadnicima nacionalnih manjina,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na isti način bi se, primjenom citirane odredbe Zakona,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trebalo uvažiti pravo i potreba da se sufinancira boravak</w:t>
            </w:r>
          </w:p>
          <w:p w:rsidR="00054E27" w:rsidRP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djeteta u ustanovi koja provodi odgoj u skladu sa vjerskim</w:t>
            </w:r>
          </w:p>
          <w:p w:rsidR="00054E27" w:rsidRDefault="00054E27" w:rsidP="00054E27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054E27">
              <w:rPr>
                <w:rFonts w:eastAsia="Calibri"/>
                <w:sz w:val="24"/>
                <w:szCs w:val="24"/>
              </w:rPr>
              <w:t>potrebama.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7" w:rsidRDefault="00826846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826846">
              <w:rPr>
                <w:rFonts w:eastAsia="Calibri"/>
                <w:b/>
                <w:sz w:val="24"/>
                <w:szCs w:val="24"/>
              </w:rPr>
              <w:t>Primjedba se ne prihvaća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br/>
              <w:t xml:space="preserve">Predlagatelj Odluke  o kriterijima za sufinanciranje djece u predškolskim ustanovama u ostalim gradovima i općinama se očituje na način: 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p</w:t>
            </w:r>
            <w:r w:rsidRPr="00826846">
              <w:rPr>
                <w:rFonts w:eastAsia="Calibri"/>
                <w:sz w:val="24"/>
                <w:szCs w:val="24"/>
              </w:rPr>
              <w:t>rogram  DV Matulji utemeljen je na važećim zakonskim i stručno koncepcijskim dokumentima i propisima. DV Matulji može ponuditi i program  sa specifičnostima katoličkog vjerskog odgoja  ,a za navedene programe stručno su osposobljene  4   odgajateljice predškolskog odgoja koje posjeduju kanonski mandat.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7" w:rsidRDefault="00054E27" w:rsidP="00FD15A3">
            <w:pPr>
              <w:widowControl/>
              <w:overflowPunct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C26A41" w:rsidRDefault="00C26A41"/>
    <w:sectPr w:rsidR="00C26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7"/>
    <w:rsid w:val="00054E27"/>
    <w:rsid w:val="00826846"/>
    <w:rsid w:val="00AB1B10"/>
    <w:rsid w:val="00C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4E27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4E27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Gadžo</dc:creator>
  <cp:lastModifiedBy>Biserka Gadžo</cp:lastModifiedBy>
  <cp:revision>1</cp:revision>
  <dcterms:created xsi:type="dcterms:W3CDTF">2019-01-31T14:16:00Z</dcterms:created>
  <dcterms:modified xsi:type="dcterms:W3CDTF">2019-01-31T14:32:00Z</dcterms:modified>
</cp:coreProperties>
</file>