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2A" w:rsidRDefault="00F856D3" w:rsidP="00F856D3">
      <w:pPr>
        <w:jc w:val="center"/>
        <w:rPr>
          <w:rFonts w:eastAsia="Calibri"/>
          <w:b/>
          <w:sz w:val="24"/>
          <w:szCs w:val="24"/>
          <w:lang w:val="hr-HR"/>
        </w:rPr>
      </w:pPr>
      <w:r w:rsidRPr="00F856D3">
        <w:rPr>
          <w:rFonts w:eastAsia="Calibri"/>
          <w:b/>
          <w:sz w:val="24"/>
          <w:szCs w:val="24"/>
          <w:lang w:val="hr-HR"/>
        </w:rPr>
        <w:t>OBRAZLOŽENJE</w:t>
      </w:r>
    </w:p>
    <w:p w:rsidR="00F856D3" w:rsidRPr="001F1CB3" w:rsidRDefault="00F856D3" w:rsidP="00F856D3">
      <w:pPr>
        <w:jc w:val="center"/>
        <w:rPr>
          <w:rFonts w:eastAsia="Calibri"/>
          <w:b/>
          <w:sz w:val="24"/>
          <w:szCs w:val="24"/>
          <w:lang w:val="hr-HR"/>
        </w:rPr>
      </w:pPr>
      <w:r w:rsidRPr="001F1CB3">
        <w:rPr>
          <w:rFonts w:eastAsia="Calibri"/>
          <w:b/>
          <w:sz w:val="24"/>
          <w:szCs w:val="24"/>
          <w:lang w:val="hr-HR"/>
        </w:rPr>
        <w:t xml:space="preserve">uz </w:t>
      </w:r>
      <w:r w:rsidR="002F5A81">
        <w:rPr>
          <w:rFonts w:eastAsia="Calibri"/>
          <w:b/>
          <w:sz w:val="24"/>
          <w:szCs w:val="24"/>
          <w:lang w:val="hr-HR"/>
        </w:rPr>
        <w:t xml:space="preserve">nacrt </w:t>
      </w:r>
      <w:r w:rsidRPr="001F1CB3">
        <w:rPr>
          <w:rFonts w:eastAsia="Calibri"/>
          <w:b/>
          <w:sz w:val="24"/>
          <w:szCs w:val="24"/>
          <w:lang w:val="hr-HR"/>
        </w:rPr>
        <w:t>prijedlog</w:t>
      </w:r>
      <w:r w:rsidR="002F5A81">
        <w:rPr>
          <w:rFonts w:eastAsia="Calibri"/>
          <w:b/>
          <w:sz w:val="24"/>
          <w:szCs w:val="24"/>
          <w:lang w:val="hr-HR"/>
        </w:rPr>
        <w:t>a</w:t>
      </w:r>
      <w:r w:rsidRPr="001F1CB3">
        <w:rPr>
          <w:rFonts w:eastAsia="Calibri"/>
          <w:b/>
          <w:sz w:val="24"/>
          <w:szCs w:val="24"/>
          <w:lang w:val="hr-HR"/>
        </w:rPr>
        <w:t xml:space="preserve"> Odluke o izmjenama i dopunama Odluke o porezima Općine Matulji</w:t>
      </w:r>
    </w:p>
    <w:p w:rsidR="00F856D3" w:rsidRDefault="00F856D3" w:rsidP="007D7285">
      <w:pPr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Važećom Odluke o porezima Općine Matulji („Službene novine Primorsko – goranske županije“ broj 22/01 i 50/13) utvrđene su vrste općinskih poreza, porezni obveznici, porezna osnovica, stope i visina poreza te način obračuna i plaćanja poreza u skladu sa Zakonom o financiranju jedinica lokalne i područne (regionalne) samouprave („Narodne novine“ broj 117/93, 69/97, 33/00, 73/00, 127/00, 59/01, 107/01, 117/01, 150/02, 147/03, 132/06, 26/07, 73/08, 25/12, 147/14 i 100/15).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Zakonom o izmjenama Zakona </w:t>
      </w:r>
      <w:r w:rsidRPr="00F856D3">
        <w:rPr>
          <w:rFonts w:eastAsia="Calibri"/>
          <w:sz w:val="24"/>
          <w:szCs w:val="24"/>
          <w:lang w:val="hr-HR"/>
        </w:rPr>
        <w:t>o financiranju jedinica lokalne i područne (regionalne) samouprave</w:t>
      </w:r>
      <w:r>
        <w:rPr>
          <w:rFonts w:eastAsia="Calibri"/>
          <w:sz w:val="24"/>
          <w:szCs w:val="24"/>
          <w:lang w:val="hr-HR"/>
        </w:rPr>
        <w:t xml:space="preserve"> („Narodne novine“ broj 115/16) koji je stupio na snagu 1. siječnja 2017. godine, brisane su odnosno prestale su važiti odredbe Zakona </w:t>
      </w:r>
      <w:r w:rsidRPr="00F856D3">
        <w:rPr>
          <w:rFonts w:eastAsia="Calibri"/>
          <w:sz w:val="24"/>
          <w:szCs w:val="24"/>
          <w:lang w:val="hr-HR"/>
        </w:rPr>
        <w:t>o financiranju jedinica lokalne i područne (regionalne) samouprave</w:t>
      </w:r>
      <w:r>
        <w:rPr>
          <w:rFonts w:eastAsia="Calibri"/>
          <w:sz w:val="24"/>
          <w:szCs w:val="24"/>
          <w:lang w:val="hr-HR"/>
        </w:rPr>
        <w:t xml:space="preserve"> o porezima jedinica lokalne i područne (regionalne) samouprave te je ova materija sada uređena novim Zakonom o lokalnim porezima („Narodne novine“ broj 115/16 – u daljnjem tekstu: Zakon), koji je stupio na snagu 1. siječnja 2017. godine. 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Zakonom je uređen sustav utvrđivanja i naplate, pored ostalog, i poreza jedinica lokalne samouprave (općina i gradova), pri čemu je utvrđeno kako jedinice lokalne samouprave mogu uvesti slijedeće poreze: prirez porezu na dohodak, porez na potrošnju, porez na kuće za odmor i porez na korištenje javnih površina.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Zakonom je u odnosu na ranije važeći Zakon </w:t>
      </w:r>
      <w:r w:rsidRPr="00F856D3">
        <w:rPr>
          <w:rFonts w:eastAsia="Calibri"/>
          <w:sz w:val="24"/>
          <w:szCs w:val="24"/>
          <w:lang w:val="hr-HR"/>
        </w:rPr>
        <w:t>o financiranju jedinica lokalne i područne (regionalne) samouprave</w:t>
      </w:r>
      <w:r>
        <w:rPr>
          <w:rFonts w:eastAsia="Calibri"/>
          <w:sz w:val="24"/>
          <w:szCs w:val="24"/>
          <w:lang w:val="hr-HR"/>
        </w:rPr>
        <w:t xml:space="preserve">, ukinut porez na tvrtku ili naziv, utvrđena je obveza jedinica lokalne samouprave da donesu novu Odluku odnosno odluke kojima utvrđuju „lokalne poreze“. 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Obzirom na navedene izmjene propisa, ukidanje poreza na tvrtku ili naziv te uvođenje novog poreza, a to je prirez porezu na dohodak, ukazala se potreba za donošenjem izmjene  i dopune Odluke o porezima Općine Matulji. 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U </w:t>
      </w:r>
      <w:r w:rsidR="002F5A81">
        <w:rPr>
          <w:rFonts w:eastAsia="Calibri"/>
          <w:sz w:val="24"/>
          <w:szCs w:val="24"/>
          <w:lang w:val="hr-HR"/>
        </w:rPr>
        <w:t>nacrtu prijedloga</w:t>
      </w:r>
      <w:r>
        <w:rPr>
          <w:rFonts w:eastAsia="Calibri"/>
          <w:sz w:val="24"/>
          <w:szCs w:val="24"/>
          <w:lang w:val="hr-HR"/>
        </w:rPr>
        <w:t xml:space="preserve"> Odluke u odnosu na važeću Odluku o porezima Općine Matulji uvodi se novi porez – i to prirez porezu na dohodak koji se predviđa u ovom </w:t>
      </w:r>
      <w:r w:rsidR="002F5A81">
        <w:rPr>
          <w:rFonts w:eastAsia="Calibri"/>
          <w:sz w:val="24"/>
          <w:szCs w:val="24"/>
          <w:lang w:val="hr-HR"/>
        </w:rPr>
        <w:t>nacrtu prijedloga</w:t>
      </w:r>
      <w:r>
        <w:rPr>
          <w:rFonts w:eastAsia="Calibri"/>
          <w:sz w:val="24"/>
          <w:szCs w:val="24"/>
          <w:lang w:val="hr-HR"/>
        </w:rPr>
        <w:t xml:space="preserve"> Odluke da se prirez porezu na dohodak plaća po stopi od 10% na osnovicu koja je predložena u članku 2.b ove Odluke i to na način da osnovica prireza porezu na dohodak je porez na dohodak utvrđen sukladno </w:t>
      </w:r>
      <w:r w:rsidR="00284661">
        <w:rPr>
          <w:rFonts w:eastAsia="Calibri"/>
          <w:sz w:val="24"/>
          <w:szCs w:val="24"/>
          <w:lang w:val="hr-HR"/>
        </w:rPr>
        <w:t>Z</w:t>
      </w:r>
      <w:r>
        <w:rPr>
          <w:rFonts w:eastAsia="Calibri"/>
          <w:sz w:val="24"/>
          <w:szCs w:val="24"/>
          <w:lang w:val="hr-HR"/>
        </w:rPr>
        <w:t>akonu</w:t>
      </w:r>
      <w:r w:rsidR="00284661">
        <w:rPr>
          <w:rFonts w:eastAsia="Calibri"/>
          <w:sz w:val="24"/>
          <w:szCs w:val="24"/>
          <w:lang w:val="hr-HR"/>
        </w:rPr>
        <w:t xml:space="preserve"> o porezu na dohodak i Pravilniku o porezu na dohodak</w:t>
      </w:r>
      <w:r>
        <w:rPr>
          <w:rFonts w:eastAsia="Calibri"/>
          <w:sz w:val="24"/>
          <w:szCs w:val="24"/>
          <w:lang w:val="hr-HR"/>
        </w:rPr>
        <w:t xml:space="preserve">. 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Prirez porezu na dohodak prema ovom </w:t>
      </w:r>
      <w:r w:rsidR="002F5A81">
        <w:rPr>
          <w:rFonts w:eastAsia="Calibri"/>
          <w:sz w:val="24"/>
          <w:szCs w:val="24"/>
          <w:lang w:val="hr-HR"/>
        </w:rPr>
        <w:t>Nacrtu prijedloga</w:t>
      </w:r>
      <w:r>
        <w:rPr>
          <w:rFonts w:eastAsia="Calibri"/>
          <w:sz w:val="24"/>
          <w:szCs w:val="24"/>
          <w:lang w:val="hr-HR"/>
        </w:rPr>
        <w:t xml:space="preserve"> odredbe članka 2.a plaćao bi se na području Općine Matulji i to na porez na dohodak od nesamostalnog rada, porez na dohodak od samostalne djelatnosti, porez na dohodak od imovine i imovinskih prava, porez na dohodak od kapitala, porez na dohodak od osiguranja i porez na dohodak od drugog dohotka.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Prema </w:t>
      </w:r>
      <w:r w:rsidR="002F5A81">
        <w:rPr>
          <w:rFonts w:eastAsia="Calibri"/>
          <w:sz w:val="24"/>
          <w:szCs w:val="24"/>
          <w:lang w:val="hr-HR"/>
        </w:rPr>
        <w:t>nacrtu prijedloga</w:t>
      </w:r>
      <w:r>
        <w:rPr>
          <w:rFonts w:eastAsia="Calibri"/>
          <w:sz w:val="24"/>
          <w:szCs w:val="24"/>
          <w:lang w:val="hr-HR"/>
        </w:rPr>
        <w:t xml:space="preserve"> odredbe članka 2. ove Odluke, obvezni</w:t>
      </w:r>
      <w:r w:rsidR="002F5A81">
        <w:rPr>
          <w:rFonts w:eastAsia="Calibri"/>
          <w:sz w:val="24"/>
          <w:szCs w:val="24"/>
          <w:lang w:val="hr-HR"/>
        </w:rPr>
        <w:t xml:space="preserve">k prireza porezu na dohodak je </w:t>
      </w:r>
      <w:r>
        <w:rPr>
          <w:rFonts w:eastAsia="Calibri"/>
          <w:sz w:val="24"/>
          <w:szCs w:val="24"/>
          <w:lang w:val="hr-HR"/>
        </w:rPr>
        <w:t>fizička osoba koja je obveznik poreza na dohodak i ima prebivalište ili uobičajeno boravište na području Općine Matulji.</w:t>
      </w:r>
    </w:p>
    <w:p w:rsidR="00F856D3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Pr="00297AF2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 w:rsidRPr="00297AF2">
        <w:rPr>
          <w:rFonts w:eastAsia="Calibri"/>
          <w:sz w:val="24"/>
          <w:szCs w:val="24"/>
          <w:lang w:val="hr-HR"/>
        </w:rPr>
        <w:t xml:space="preserve">Uvođenje prireza porezu na dohodak po stopi od 10% ne bi teretilo najniže plaće niti bi utjecalo na standard zaposlenika s nižim primanjima. Naime, poreznom reformom zaposlenici s nižim primanjima, s obzirom na povećanje osobnog odbitka i povećanje poreznih razreda, </w:t>
      </w:r>
      <w:r w:rsidRPr="00297AF2">
        <w:rPr>
          <w:rFonts w:eastAsia="Calibri"/>
          <w:sz w:val="24"/>
          <w:szCs w:val="24"/>
          <w:lang w:val="hr-HR"/>
        </w:rPr>
        <w:lastRenderedPageBreak/>
        <w:t>ne plaćaju porez na dohodak pa samim time ne bi plaćali ni prirez porezu na dohodak Općini Matulji.</w:t>
      </w:r>
    </w:p>
    <w:p w:rsidR="00F856D3" w:rsidRPr="00297AF2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F856D3" w:rsidRPr="00297AF2" w:rsidRDefault="00F856D3" w:rsidP="00F856D3">
      <w:pPr>
        <w:jc w:val="both"/>
        <w:rPr>
          <w:rFonts w:eastAsia="Calibri"/>
          <w:sz w:val="24"/>
          <w:szCs w:val="24"/>
          <w:lang w:val="hr-HR"/>
        </w:rPr>
      </w:pPr>
      <w:r w:rsidRPr="00297AF2">
        <w:rPr>
          <w:rFonts w:eastAsia="Calibri"/>
          <w:sz w:val="24"/>
          <w:szCs w:val="24"/>
          <w:lang w:val="hr-HR"/>
        </w:rPr>
        <w:t xml:space="preserve">Kakav je financijski učinak (na neto plaće) prijedlogom ove Odluke i to uvođenjem stope prireza od 10% vidi se u tabeli koja slijedi: </w:t>
      </w:r>
    </w:p>
    <w:p w:rsidR="00F856D3" w:rsidRDefault="00F856D3" w:rsidP="00F856D3">
      <w:pPr>
        <w:jc w:val="both"/>
        <w:rPr>
          <w:rFonts w:eastAsia="Calibri"/>
          <w:color w:val="808080" w:themeColor="background1" w:themeShade="80"/>
          <w:sz w:val="24"/>
          <w:szCs w:val="24"/>
          <w:lang w:val="hr-HR"/>
        </w:rPr>
      </w:pP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877"/>
        <w:gridCol w:w="600"/>
        <w:gridCol w:w="996"/>
        <w:gridCol w:w="1122"/>
        <w:gridCol w:w="1000"/>
        <w:gridCol w:w="1122"/>
        <w:gridCol w:w="996"/>
        <w:gridCol w:w="1122"/>
        <w:gridCol w:w="1122"/>
      </w:tblGrid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2016.g.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plaća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5000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2.uzd.član</w:t>
            </w: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plaća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 xml:space="preserve">porez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264,00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564,00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na ruke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3.736,00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3.988,00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4.686,00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5.436,00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5.748,00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2017.g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plaća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5000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2.uzd.član</w:t>
            </w: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plaća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 xml:space="preserve">porez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528,00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na ruke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3.952,00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4.712,00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5.472,00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5.892,00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prijedlog 2018.g.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plaća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5000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samac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1.uzd.član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2.uzd.član</w:t>
            </w: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plaća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 xml:space="preserve">porez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528,00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45111F" w:rsidRPr="0045111F" w:rsidTr="0045111F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 xml:space="preserve">prirez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4,80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28,80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52,80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45111F" w:rsidRPr="0045111F" w:rsidTr="0045111F">
        <w:trPr>
          <w:trHeight w:val="288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neto na ruke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3.947,20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4.683,20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5.419,20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5.881,20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111F" w:rsidRPr="0045111F" w:rsidRDefault="0045111F" w:rsidP="0045111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45111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6.000,00</w:t>
            </w:r>
          </w:p>
        </w:tc>
      </w:tr>
    </w:tbl>
    <w:p w:rsidR="00F856D3" w:rsidRPr="00F856D3" w:rsidRDefault="00F856D3" w:rsidP="00F856D3">
      <w:pPr>
        <w:jc w:val="both"/>
        <w:rPr>
          <w:rFonts w:eastAsia="Calibri"/>
          <w:color w:val="808080" w:themeColor="background1" w:themeShade="80"/>
          <w:sz w:val="24"/>
          <w:szCs w:val="24"/>
          <w:lang w:val="hr-HR"/>
        </w:rPr>
      </w:pPr>
    </w:p>
    <w:p w:rsidR="00284661" w:rsidRDefault="002F5A81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Nacrtom prijedloga</w:t>
      </w:r>
      <w:r w:rsidR="00F856D3" w:rsidRPr="00297AF2">
        <w:rPr>
          <w:rFonts w:eastAsia="Calibri"/>
          <w:sz w:val="24"/>
          <w:szCs w:val="24"/>
          <w:lang w:val="hr-HR"/>
        </w:rPr>
        <w:t xml:space="preserve"> ove Odluke predviđa se uvođenje </w:t>
      </w:r>
      <w:r w:rsidR="00284661" w:rsidRPr="00297AF2">
        <w:rPr>
          <w:rFonts w:eastAsia="Calibri"/>
          <w:sz w:val="24"/>
          <w:szCs w:val="24"/>
          <w:lang w:val="hr-HR"/>
        </w:rPr>
        <w:t xml:space="preserve">novog poreza i to </w:t>
      </w:r>
      <w:r w:rsidR="00F856D3" w:rsidRPr="00297AF2">
        <w:rPr>
          <w:rFonts w:eastAsia="Calibri"/>
          <w:sz w:val="24"/>
          <w:szCs w:val="24"/>
          <w:lang w:val="hr-HR"/>
        </w:rPr>
        <w:t xml:space="preserve">prireza porezu na dohodak </w:t>
      </w:r>
      <w:r w:rsidR="00297AF2" w:rsidRPr="00297AF2">
        <w:rPr>
          <w:rFonts w:eastAsia="Calibri"/>
          <w:sz w:val="24"/>
          <w:szCs w:val="24"/>
          <w:lang w:val="hr-HR"/>
        </w:rPr>
        <w:t xml:space="preserve">zbog novih zakonskih propisa temeljem kojih se smanjuje učešće jedinica lokalne samouprave tj. znatno se umanjuju porezni prihodi iz kojih se financiraju javne potrebe. Ukoliko Općina Matulji želi i dalje zadržati postojeći standard ukazala se potreba za uvrštenjem navedenog poreza. </w:t>
      </w:r>
    </w:p>
    <w:p w:rsidR="007D7285" w:rsidRDefault="007D7285" w:rsidP="00F856D3">
      <w:pPr>
        <w:jc w:val="both"/>
        <w:rPr>
          <w:rFonts w:eastAsia="Calibri"/>
          <w:sz w:val="24"/>
          <w:szCs w:val="24"/>
          <w:lang w:val="hr-HR"/>
        </w:rPr>
      </w:pPr>
      <w:bookmarkStart w:id="0" w:name="_GoBack"/>
      <w:bookmarkEnd w:id="0"/>
    </w:p>
    <w:p w:rsidR="00A91E2F" w:rsidRDefault="00297AF2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Općinski načelnik </w:t>
      </w:r>
      <w:r w:rsidR="007D7285">
        <w:rPr>
          <w:rFonts w:eastAsia="Calibri"/>
          <w:sz w:val="24"/>
          <w:szCs w:val="24"/>
          <w:lang w:val="hr-HR"/>
        </w:rPr>
        <w:t>je na sjednici kolegija održanoj dana 2</w:t>
      </w:r>
      <w:r w:rsidR="00A91E2F">
        <w:rPr>
          <w:rFonts w:eastAsia="Calibri"/>
          <w:sz w:val="24"/>
          <w:szCs w:val="24"/>
          <w:lang w:val="hr-HR"/>
        </w:rPr>
        <w:t>7</w:t>
      </w:r>
      <w:r w:rsidR="007D7285">
        <w:rPr>
          <w:rFonts w:eastAsia="Calibri"/>
          <w:sz w:val="24"/>
          <w:szCs w:val="24"/>
          <w:lang w:val="hr-HR"/>
        </w:rPr>
        <w:t xml:space="preserve">. </w:t>
      </w:r>
      <w:r w:rsidR="00A91E2F">
        <w:rPr>
          <w:rFonts w:eastAsia="Calibri"/>
          <w:sz w:val="24"/>
          <w:szCs w:val="24"/>
          <w:lang w:val="hr-HR"/>
        </w:rPr>
        <w:t>travnja 2018</w:t>
      </w:r>
      <w:r w:rsidR="007D7285">
        <w:rPr>
          <w:rFonts w:eastAsia="Calibri"/>
          <w:sz w:val="24"/>
          <w:szCs w:val="24"/>
          <w:lang w:val="hr-HR"/>
        </w:rPr>
        <w:t>. godine utvrdio</w:t>
      </w:r>
      <w:r>
        <w:rPr>
          <w:rFonts w:eastAsia="Calibri"/>
          <w:sz w:val="24"/>
          <w:szCs w:val="24"/>
          <w:lang w:val="hr-HR"/>
        </w:rPr>
        <w:t xml:space="preserve"> </w:t>
      </w:r>
      <w:r w:rsidR="00A91E2F">
        <w:rPr>
          <w:rFonts w:eastAsia="Calibri"/>
          <w:sz w:val="24"/>
          <w:szCs w:val="24"/>
          <w:lang w:val="hr-HR"/>
        </w:rPr>
        <w:t>Nacrt</w:t>
      </w:r>
      <w:r>
        <w:rPr>
          <w:rFonts w:eastAsia="Calibri"/>
          <w:sz w:val="24"/>
          <w:szCs w:val="24"/>
          <w:lang w:val="hr-HR"/>
        </w:rPr>
        <w:t xml:space="preserve"> prijedlog</w:t>
      </w:r>
      <w:r w:rsidR="00A91E2F">
        <w:rPr>
          <w:rFonts w:eastAsia="Calibri"/>
          <w:sz w:val="24"/>
          <w:szCs w:val="24"/>
          <w:lang w:val="hr-HR"/>
        </w:rPr>
        <w:t>a</w:t>
      </w:r>
      <w:r>
        <w:rPr>
          <w:rFonts w:eastAsia="Calibri"/>
          <w:sz w:val="24"/>
          <w:szCs w:val="24"/>
          <w:lang w:val="hr-HR"/>
        </w:rPr>
        <w:t xml:space="preserve"> Odluke o izmjenama i dopunama Odluke o porezima Općine Matulji</w:t>
      </w:r>
      <w:r w:rsidR="007D7285">
        <w:rPr>
          <w:rFonts w:eastAsia="Calibri"/>
          <w:sz w:val="24"/>
          <w:szCs w:val="24"/>
          <w:lang w:val="hr-HR"/>
        </w:rPr>
        <w:t>,</w:t>
      </w:r>
      <w:r>
        <w:rPr>
          <w:rFonts w:eastAsia="Calibri"/>
          <w:sz w:val="24"/>
          <w:szCs w:val="24"/>
          <w:lang w:val="hr-HR"/>
        </w:rPr>
        <w:t xml:space="preserve"> te</w:t>
      </w:r>
      <w:r w:rsidR="00A91E2F">
        <w:rPr>
          <w:rFonts w:eastAsia="Calibri"/>
          <w:sz w:val="24"/>
          <w:szCs w:val="24"/>
          <w:lang w:val="hr-HR"/>
        </w:rPr>
        <w:t xml:space="preserve"> isti</w:t>
      </w:r>
      <w:r>
        <w:rPr>
          <w:rFonts w:eastAsia="Calibri"/>
          <w:sz w:val="24"/>
          <w:szCs w:val="24"/>
          <w:lang w:val="hr-HR"/>
        </w:rPr>
        <w:t xml:space="preserve"> upu</w:t>
      </w:r>
      <w:r w:rsidR="00A91E2F">
        <w:rPr>
          <w:rFonts w:eastAsia="Calibri"/>
          <w:sz w:val="24"/>
          <w:szCs w:val="24"/>
          <w:lang w:val="hr-HR"/>
        </w:rPr>
        <w:t>ćuje</w:t>
      </w:r>
      <w:r>
        <w:rPr>
          <w:rFonts w:eastAsia="Calibri"/>
          <w:sz w:val="24"/>
          <w:szCs w:val="24"/>
          <w:lang w:val="hr-HR"/>
        </w:rPr>
        <w:t xml:space="preserve"> na </w:t>
      </w:r>
      <w:r w:rsidR="00A91E2F">
        <w:rPr>
          <w:rFonts w:eastAsia="Calibri"/>
          <w:sz w:val="24"/>
          <w:szCs w:val="24"/>
          <w:lang w:val="hr-HR"/>
        </w:rPr>
        <w:t>savjetovanje sa javnošću.</w:t>
      </w:r>
    </w:p>
    <w:p w:rsidR="00A91E2F" w:rsidRDefault="00A91E2F" w:rsidP="00F856D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Savjetovanje sa javnošću provest će se od dana 27.travnja 2018. do 13.svibnja 2018. godine.</w:t>
      </w:r>
    </w:p>
    <w:p w:rsidR="00297AF2" w:rsidRDefault="00297AF2" w:rsidP="00F856D3">
      <w:pPr>
        <w:jc w:val="both"/>
        <w:rPr>
          <w:rFonts w:eastAsia="Calibri"/>
          <w:sz w:val="24"/>
          <w:szCs w:val="24"/>
          <w:lang w:val="hr-HR"/>
        </w:rPr>
      </w:pPr>
    </w:p>
    <w:p w:rsidR="00A91E2F" w:rsidRDefault="00297AF2" w:rsidP="00C72743">
      <w:pPr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U Matuljima, </w:t>
      </w:r>
      <w:r w:rsidR="00A91E2F">
        <w:rPr>
          <w:rFonts w:eastAsia="Calibri"/>
          <w:sz w:val="24"/>
          <w:szCs w:val="24"/>
          <w:lang w:val="hr-HR"/>
        </w:rPr>
        <w:t>27</w:t>
      </w:r>
      <w:r w:rsidR="007D7285">
        <w:rPr>
          <w:rFonts w:eastAsia="Calibri"/>
          <w:sz w:val="24"/>
          <w:szCs w:val="24"/>
          <w:lang w:val="hr-HR"/>
        </w:rPr>
        <w:t>. travnja 2018.</w:t>
      </w:r>
      <w:r w:rsidR="007D7285">
        <w:rPr>
          <w:rFonts w:eastAsia="Calibri"/>
          <w:sz w:val="24"/>
          <w:szCs w:val="24"/>
          <w:lang w:val="hr-HR"/>
        </w:rPr>
        <w:tab/>
      </w:r>
      <w:r w:rsidR="007D7285">
        <w:rPr>
          <w:rFonts w:eastAsia="Calibri"/>
          <w:sz w:val="24"/>
          <w:szCs w:val="24"/>
          <w:lang w:val="hr-HR"/>
        </w:rPr>
        <w:tab/>
      </w:r>
    </w:p>
    <w:p w:rsidR="00A91E2F" w:rsidRDefault="00A91E2F" w:rsidP="00C72743">
      <w:pPr>
        <w:jc w:val="both"/>
        <w:rPr>
          <w:rFonts w:eastAsia="Calibri"/>
          <w:sz w:val="24"/>
          <w:szCs w:val="24"/>
          <w:lang w:val="hr-HR"/>
        </w:rPr>
      </w:pPr>
    </w:p>
    <w:p w:rsidR="00A91E2F" w:rsidRDefault="00A91E2F" w:rsidP="00C72743">
      <w:pPr>
        <w:jc w:val="both"/>
        <w:rPr>
          <w:rFonts w:eastAsia="Calibri"/>
          <w:sz w:val="24"/>
          <w:szCs w:val="24"/>
          <w:lang w:val="hr-HR"/>
        </w:rPr>
      </w:pPr>
    </w:p>
    <w:p w:rsidR="00A91E2F" w:rsidRDefault="00A91E2F" w:rsidP="00C72743">
      <w:pPr>
        <w:jc w:val="both"/>
        <w:rPr>
          <w:rFonts w:eastAsia="Calibri"/>
          <w:sz w:val="24"/>
          <w:szCs w:val="24"/>
          <w:lang w:val="hr-HR"/>
        </w:rPr>
      </w:pPr>
    </w:p>
    <w:p w:rsidR="009078F6" w:rsidRDefault="007D7285" w:rsidP="00A91E2F">
      <w:pPr>
        <w:ind w:left="3540" w:firstLine="708"/>
        <w:jc w:val="both"/>
        <w:rPr>
          <w:rFonts w:eastAsia="Calibri"/>
          <w:sz w:val="24"/>
          <w:szCs w:val="24"/>
          <w:lang w:val="hr-HR"/>
        </w:rPr>
      </w:pPr>
      <w:r w:rsidRPr="007D7285">
        <w:rPr>
          <w:rFonts w:eastAsia="Calibri"/>
          <w:sz w:val="24"/>
          <w:szCs w:val="24"/>
          <w:lang w:val="hr-HR"/>
        </w:rPr>
        <w:t>OPĆINSKI NAČELNIK OPĆINE MATULJI</w:t>
      </w:r>
    </w:p>
    <w:p w:rsidR="00284661" w:rsidRDefault="007D7285" w:rsidP="007D7285">
      <w:pPr>
        <w:ind w:left="4956" w:firstLine="708"/>
        <w:jc w:val="both"/>
        <w:rPr>
          <w:rFonts w:eastAsia="Calibri"/>
          <w:sz w:val="24"/>
          <w:szCs w:val="24"/>
          <w:lang w:val="hr-HR"/>
        </w:rPr>
      </w:pPr>
      <w:r w:rsidRPr="007D7285">
        <w:rPr>
          <w:rFonts w:eastAsia="Calibri"/>
          <w:sz w:val="24"/>
          <w:szCs w:val="24"/>
          <w:lang w:val="hr-HR"/>
        </w:rPr>
        <w:t xml:space="preserve">Mario </w:t>
      </w:r>
      <w:proofErr w:type="spellStart"/>
      <w:r w:rsidRPr="007D7285">
        <w:rPr>
          <w:rFonts w:eastAsia="Calibri"/>
          <w:sz w:val="24"/>
          <w:szCs w:val="24"/>
          <w:lang w:val="hr-HR"/>
        </w:rPr>
        <w:t>Ćiković</w:t>
      </w:r>
      <w:proofErr w:type="spellEnd"/>
    </w:p>
    <w:sectPr w:rsidR="00284661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85" w:rsidRDefault="00A26885" w:rsidP="00F856D3">
      <w:r>
        <w:separator/>
      </w:r>
    </w:p>
  </w:endnote>
  <w:endnote w:type="continuationSeparator" w:id="0">
    <w:p w:rsidR="00A26885" w:rsidRDefault="00A26885" w:rsidP="00F8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F2" w:rsidRDefault="00297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F2" w:rsidRDefault="00297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F2" w:rsidRDefault="00297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85" w:rsidRDefault="00A26885" w:rsidP="00F856D3">
      <w:r>
        <w:separator/>
      </w:r>
    </w:p>
  </w:footnote>
  <w:footnote w:type="continuationSeparator" w:id="0">
    <w:p w:rsidR="00A26885" w:rsidRDefault="00A26885" w:rsidP="00F8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F2" w:rsidRDefault="00297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F2" w:rsidRDefault="00297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F2" w:rsidRDefault="00297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02725"/>
    <w:rsid w:val="0000310B"/>
    <w:rsid w:val="00036DCC"/>
    <w:rsid w:val="000426DA"/>
    <w:rsid w:val="00043CD3"/>
    <w:rsid w:val="000472E7"/>
    <w:rsid w:val="00096F8C"/>
    <w:rsid w:val="000B0614"/>
    <w:rsid w:val="000B1D88"/>
    <w:rsid w:val="000D138E"/>
    <w:rsid w:val="00122C1E"/>
    <w:rsid w:val="0015134D"/>
    <w:rsid w:val="001D39D2"/>
    <w:rsid w:val="001F1CB3"/>
    <w:rsid w:val="00246BF4"/>
    <w:rsid w:val="00261D5B"/>
    <w:rsid w:val="00284661"/>
    <w:rsid w:val="00297AF2"/>
    <w:rsid w:val="002E2538"/>
    <w:rsid w:val="002F5A81"/>
    <w:rsid w:val="0031792A"/>
    <w:rsid w:val="00372F05"/>
    <w:rsid w:val="003D3A77"/>
    <w:rsid w:val="004114D2"/>
    <w:rsid w:val="0045111F"/>
    <w:rsid w:val="00466A53"/>
    <w:rsid w:val="00494E08"/>
    <w:rsid w:val="004F107A"/>
    <w:rsid w:val="00594275"/>
    <w:rsid w:val="005E74F1"/>
    <w:rsid w:val="005F1EBF"/>
    <w:rsid w:val="005F783D"/>
    <w:rsid w:val="00602164"/>
    <w:rsid w:val="00662EEB"/>
    <w:rsid w:val="00690955"/>
    <w:rsid w:val="006D7370"/>
    <w:rsid w:val="00716E88"/>
    <w:rsid w:val="007272AD"/>
    <w:rsid w:val="00754606"/>
    <w:rsid w:val="00794DE4"/>
    <w:rsid w:val="007C4A18"/>
    <w:rsid w:val="007D7285"/>
    <w:rsid w:val="00826D05"/>
    <w:rsid w:val="00860C72"/>
    <w:rsid w:val="009078F6"/>
    <w:rsid w:val="00921725"/>
    <w:rsid w:val="00A26885"/>
    <w:rsid w:val="00A4375B"/>
    <w:rsid w:val="00A91E2F"/>
    <w:rsid w:val="00B17D6D"/>
    <w:rsid w:val="00B33E8A"/>
    <w:rsid w:val="00B80692"/>
    <w:rsid w:val="00B92289"/>
    <w:rsid w:val="00C55BC6"/>
    <w:rsid w:val="00C72743"/>
    <w:rsid w:val="00D01F19"/>
    <w:rsid w:val="00D132D4"/>
    <w:rsid w:val="00D61EE0"/>
    <w:rsid w:val="00E01967"/>
    <w:rsid w:val="00EA1512"/>
    <w:rsid w:val="00ED4575"/>
    <w:rsid w:val="00EE7FC2"/>
    <w:rsid w:val="00F10646"/>
    <w:rsid w:val="00F14ABA"/>
    <w:rsid w:val="00F4655B"/>
    <w:rsid w:val="00F62C09"/>
    <w:rsid w:val="00F856D3"/>
    <w:rsid w:val="00F87B2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56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56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D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56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56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D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2018-04-29T15:34:00Z</cp:lastPrinted>
  <dcterms:created xsi:type="dcterms:W3CDTF">2018-04-29T15:37:00Z</dcterms:created>
  <dcterms:modified xsi:type="dcterms:W3CDTF">2018-04-29T15:37:00Z</dcterms:modified>
</cp:coreProperties>
</file>