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C4" w:rsidRDefault="005D13C4" w:rsidP="005D13C4">
      <w:pPr>
        <w:jc w:val="center"/>
      </w:pPr>
    </w:p>
    <w:p w:rsidR="005D13C4" w:rsidRDefault="005D13C4" w:rsidP="005D13C4">
      <w:pPr>
        <w:jc w:val="center"/>
      </w:pPr>
    </w:p>
    <w:p w:rsidR="005D13C4" w:rsidRDefault="005D13C4" w:rsidP="005D13C4">
      <w:pPr>
        <w:jc w:val="center"/>
      </w:pPr>
    </w:p>
    <w:p w:rsidR="00BF3BC4" w:rsidRPr="00BF3BC4" w:rsidRDefault="00BF3BC4" w:rsidP="00BF3BC4">
      <w:pPr>
        <w:jc w:val="center"/>
        <w:rPr>
          <w:b/>
          <w:sz w:val="28"/>
          <w:szCs w:val="28"/>
        </w:rPr>
      </w:pPr>
      <w:r w:rsidRPr="00BF3BC4">
        <w:rPr>
          <w:b/>
          <w:sz w:val="28"/>
          <w:szCs w:val="28"/>
        </w:rPr>
        <w:t>IZVJEŠĆE O JAVNOJ RASPRAVI</w:t>
      </w:r>
    </w:p>
    <w:p w:rsidR="00BF3BC4" w:rsidRDefault="00BF3BC4" w:rsidP="00BF3BC4">
      <w:pPr>
        <w:jc w:val="center"/>
      </w:pPr>
    </w:p>
    <w:p w:rsidR="00BF3BC4" w:rsidRDefault="00BF3BC4" w:rsidP="00BF3BC4">
      <w:pPr>
        <w:pStyle w:val="Default"/>
      </w:pPr>
    </w:p>
    <w:p w:rsidR="00BF3BC4" w:rsidRDefault="00BF3BC4" w:rsidP="00BF3BC4">
      <w:pPr>
        <w:pStyle w:val="Default"/>
      </w:pPr>
    </w:p>
    <w:tbl>
      <w:tblPr>
        <w:tblW w:w="0" w:type="auto"/>
        <w:tblLayout w:type="fixed"/>
        <w:tblLook w:val="04A0"/>
      </w:tblPr>
      <w:tblGrid>
        <w:gridCol w:w="13716"/>
      </w:tblGrid>
      <w:tr w:rsidR="00BF3BC4" w:rsidRPr="00BF3BC4" w:rsidTr="00BF3BC4">
        <w:trPr>
          <w:trHeight w:val="48"/>
        </w:trPr>
        <w:tc>
          <w:tcPr>
            <w:tcW w:w="13716" w:type="dxa"/>
            <w:tcBorders>
              <w:top w:val="nil"/>
              <w:left w:val="nil"/>
              <w:bottom w:val="nil"/>
              <w:right w:val="nil"/>
            </w:tcBorders>
          </w:tcPr>
          <w:p w:rsidR="00BF3BC4" w:rsidRPr="00BF3BC4" w:rsidRDefault="00BF3BC4">
            <w:pPr>
              <w:jc w:val="center"/>
              <w:rPr>
                <w:b/>
                <w:sz w:val="24"/>
                <w:szCs w:val="24"/>
              </w:rPr>
            </w:pPr>
            <w:r w:rsidRPr="00BF3BC4">
              <w:rPr>
                <w:b/>
                <w:sz w:val="24"/>
                <w:szCs w:val="24"/>
              </w:rPr>
              <w:t>Naziv akta o kojem je provedena javna rasprava: PRIJEDLOG STRATEŠKOG RAZVOJNOG PROGRAMA OPĆINE MATULJI ZA RAZDOBLJE OD 2016. DO 2020. GODINE ZA JAVNU RASPRAVU</w:t>
            </w:r>
          </w:p>
          <w:p w:rsidR="00BF3BC4" w:rsidRPr="00BF3BC4" w:rsidRDefault="00BF3BC4">
            <w:pPr>
              <w:jc w:val="center"/>
              <w:rPr>
                <w:b/>
                <w:sz w:val="24"/>
                <w:szCs w:val="24"/>
              </w:rPr>
            </w:pPr>
            <w:r w:rsidRPr="00BF3BC4">
              <w:rPr>
                <w:b/>
                <w:sz w:val="24"/>
                <w:szCs w:val="24"/>
              </w:rPr>
              <w:t xml:space="preserve">Vrijeme trajanja javne rasprave: od 8.8.2016. </w:t>
            </w:r>
            <w:proofErr w:type="gramStart"/>
            <w:r w:rsidRPr="00BF3BC4">
              <w:rPr>
                <w:b/>
                <w:sz w:val="24"/>
                <w:szCs w:val="24"/>
              </w:rPr>
              <w:t>do</w:t>
            </w:r>
            <w:proofErr w:type="gramEnd"/>
            <w:r w:rsidRPr="00BF3BC4">
              <w:rPr>
                <w:b/>
                <w:sz w:val="24"/>
                <w:szCs w:val="24"/>
              </w:rPr>
              <w:t xml:space="preserve"> 21.9.2016. godine</w:t>
            </w:r>
          </w:p>
          <w:p w:rsidR="00BF3BC4" w:rsidRPr="00BF3BC4" w:rsidRDefault="00BF3BC4">
            <w:pPr>
              <w:jc w:val="center"/>
              <w:rPr>
                <w:b/>
                <w:sz w:val="24"/>
                <w:szCs w:val="24"/>
              </w:rPr>
            </w:pPr>
          </w:p>
        </w:tc>
      </w:tr>
    </w:tbl>
    <w:p w:rsidR="005D13C4" w:rsidRDefault="005D13C4" w:rsidP="005D13C4">
      <w:pPr>
        <w:jc w:val="center"/>
      </w:pPr>
      <w:r>
        <w:br w:type="page"/>
      </w:r>
    </w:p>
    <w:p w:rsidR="005D13C4" w:rsidRDefault="005D13C4" w:rsidP="005D13C4"/>
    <w:tbl>
      <w:tblPr>
        <w:tblStyle w:val="TableGrid"/>
        <w:tblW w:w="15196" w:type="dxa"/>
        <w:tblInd w:w="-459" w:type="dxa"/>
        <w:tblLayout w:type="fixed"/>
        <w:tblLook w:val="04A0"/>
      </w:tblPr>
      <w:tblGrid>
        <w:gridCol w:w="709"/>
        <w:gridCol w:w="2268"/>
        <w:gridCol w:w="2126"/>
        <w:gridCol w:w="5670"/>
        <w:gridCol w:w="4423"/>
      </w:tblGrid>
      <w:tr w:rsidR="004C7FB0" w:rsidTr="004C7FB0">
        <w:tc>
          <w:tcPr>
            <w:tcW w:w="709" w:type="dxa"/>
          </w:tcPr>
          <w:p w:rsidR="004C7FB0" w:rsidRPr="00280B07" w:rsidRDefault="004C7FB0">
            <w:pPr>
              <w:rPr>
                <w:b/>
                <w:sz w:val="20"/>
                <w:szCs w:val="20"/>
              </w:rPr>
            </w:pPr>
            <w:r w:rsidRPr="00280B07">
              <w:rPr>
                <w:b/>
                <w:sz w:val="20"/>
                <w:szCs w:val="20"/>
              </w:rPr>
              <w:t>Red.br.</w:t>
            </w:r>
          </w:p>
        </w:tc>
        <w:tc>
          <w:tcPr>
            <w:tcW w:w="2268" w:type="dxa"/>
          </w:tcPr>
          <w:p w:rsidR="004C7FB0" w:rsidRPr="00280B07" w:rsidRDefault="004C7FB0" w:rsidP="00D9543A">
            <w:pPr>
              <w:rPr>
                <w:b/>
                <w:sz w:val="20"/>
                <w:szCs w:val="20"/>
              </w:rPr>
            </w:pPr>
            <w:r w:rsidRPr="00280B07">
              <w:rPr>
                <w:b/>
                <w:sz w:val="20"/>
                <w:szCs w:val="20"/>
              </w:rPr>
              <w:t>Naziv / ime i prezime  i adresa sudionika javne rasprave</w:t>
            </w:r>
          </w:p>
        </w:tc>
        <w:tc>
          <w:tcPr>
            <w:tcW w:w="2126" w:type="dxa"/>
          </w:tcPr>
          <w:p w:rsidR="004C7FB0" w:rsidRPr="00280B07" w:rsidRDefault="004C7FB0" w:rsidP="00A92DAA">
            <w:pPr>
              <w:rPr>
                <w:b/>
                <w:sz w:val="20"/>
                <w:szCs w:val="20"/>
              </w:rPr>
            </w:pPr>
            <w:r w:rsidRPr="00280B07">
              <w:rPr>
                <w:b/>
                <w:sz w:val="20"/>
                <w:szCs w:val="20"/>
              </w:rPr>
              <w:t>Tematsko područje</w:t>
            </w:r>
          </w:p>
        </w:tc>
        <w:tc>
          <w:tcPr>
            <w:tcW w:w="5670" w:type="dxa"/>
          </w:tcPr>
          <w:p w:rsidR="004C7FB0" w:rsidRPr="00280B07" w:rsidRDefault="004C7FB0">
            <w:pPr>
              <w:rPr>
                <w:b/>
                <w:sz w:val="20"/>
                <w:szCs w:val="20"/>
              </w:rPr>
            </w:pPr>
            <w:r w:rsidRPr="00280B07">
              <w:rPr>
                <w:b/>
                <w:sz w:val="20"/>
                <w:szCs w:val="20"/>
              </w:rPr>
              <w:t>Tekst mišljenja/primjedbe/prijedloga</w:t>
            </w:r>
          </w:p>
        </w:tc>
        <w:tc>
          <w:tcPr>
            <w:tcW w:w="4423" w:type="dxa"/>
          </w:tcPr>
          <w:p w:rsidR="004C7FB0" w:rsidRPr="00280B07" w:rsidRDefault="004C7FB0" w:rsidP="00EF16B8">
            <w:pPr>
              <w:rPr>
                <w:b/>
                <w:sz w:val="20"/>
                <w:szCs w:val="20"/>
              </w:rPr>
            </w:pPr>
            <w:r w:rsidRPr="00280B07">
              <w:rPr>
                <w:b/>
                <w:sz w:val="20"/>
                <w:szCs w:val="20"/>
              </w:rPr>
              <w:t>Postupanje / obrazloženje</w:t>
            </w:r>
          </w:p>
        </w:tc>
      </w:tr>
      <w:tr w:rsidR="004C7FB0" w:rsidTr="004C7FB0">
        <w:tc>
          <w:tcPr>
            <w:tcW w:w="15196" w:type="dxa"/>
            <w:gridSpan w:val="5"/>
          </w:tcPr>
          <w:p w:rsidR="004C7FB0" w:rsidRPr="00BB42EB" w:rsidRDefault="004C7FB0" w:rsidP="00D5262A">
            <w:pPr>
              <w:rPr>
                <w:b/>
                <w:color w:val="000000" w:themeColor="text1"/>
                <w:sz w:val="24"/>
                <w:szCs w:val="24"/>
              </w:rPr>
            </w:pPr>
            <w:r w:rsidRPr="00BB42EB">
              <w:rPr>
                <w:b/>
                <w:color w:val="000000" w:themeColor="text1"/>
                <w:sz w:val="24"/>
                <w:szCs w:val="24"/>
              </w:rPr>
              <w:t xml:space="preserve">MIŠLJENJA/PRIMJEDBE/PRIJEDLOZI PRISTIGLE U TIJEKU JAVNE RASPRAVE </w:t>
            </w:r>
            <w:r w:rsidR="00D5262A">
              <w:rPr>
                <w:b/>
                <w:color w:val="000000" w:themeColor="text1"/>
                <w:sz w:val="24"/>
                <w:szCs w:val="24"/>
              </w:rPr>
              <w:t>OD</w:t>
            </w:r>
            <w:r w:rsidRPr="00BB42EB">
              <w:rPr>
                <w:b/>
                <w:color w:val="000000" w:themeColor="text1"/>
                <w:sz w:val="24"/>
                <w:szCs w:val="24"/>
              </w:rPr>
              <w:t xml:space="preserve"> 8.8.2016. D</w:t>
            </w:r>
            <w:r w:rsidR="00D5262A">
              <w:rPr>
                <w:b/>
                <w:color w:val="000000" w:themeColor="text1"/>
                <w:sz w:val="24"/>
                <w:szCs w:val="24"/>
              </w:rPr>
              <w:t>O</w:t>
            </w:r>
            <w:r w:rsidRPr="00BB42EB">
              <w:rPr>
                <w:b/>
                <w:color w:val="000000" w:themeColor="text1"/>
                <w:sz w:val="24"/>
                <w:szCs w:val="24"/>
              </w:rPr>
              <w:t xml:space="preserve"> 21.9.2016.</w:t>
            </w:r>
          </w:p>
        </w:tc>
      </w:tr>
      <w:tr w:rsidR="004C7FB0" w:rsidTr="004C7FB0">
        <w:tc>
          <w:tcPr>
            <w:tcW w:w="709" w:type="dxa"/>
            <w:vMerge w:val="restart"/>
          </w:tcPr>
          <w:p w:rsidR="004C7FB0" w:rsidRPr="003F6DAF" w:rsidRDefault="004C7FB0" w:rsidP="00B766F2">
            <w:pPr>
              <w:rPr>
                <w:sz w:val="20"/>
                <w:szCs w:val="20"/>
              </w:rPr>
            </w:pPr>
            <w:r w:rsidRPr="003F6DAF">
              <w:rPr>
                <w:sz w:val="20"/>
                <w:szCs w:val="20"/>
              </w:rPr>
              <w:t>1.</w:t>
            </w:r>
          </w:p>
        </w:tc>
        <w:tc>
          <w:tcPr>
            <w:tcW w:w="2268" w:type="dxa"/>
            <w:vMerge w:val="restart"/>
          </w:tcPr>
          <w:p w:rsidR="004C7FB0" w:rsidRPr="003F6DAF" w:rsidRDefault="004C7FB0" w:rsidP="004E3E75">
            <w:pPr>
              <w:rPr>
                <w:sz w:val="20"/>
                <w:szCs w:val="20"/>
              </w:rPr>
            </w:pPr>
            <w:r w:rsidRPr="003F6DAF">
              <w:rPr>
                <w:sz w:val="20"/>
                <w:szCs w:val="20"/>
              </w:rPr>
              <w:t>HŽ Infrastruktura d.o.o.</w:t>
            </w:r>
          </w:p>
          <w:p w:rsidR="004C7FB0" w:rsidRPr="003F6DAF" w:rsidRDefault="004C7FB0" w:rsidP="004E3E75">
            <w:pPr>
              <w:rPr>
                <w:sz w:val="20"/>
                <w:szCs w:val="20"/>
              </w:rPr>
            </w:pPr>
            <w:r w:rsidRPr="003F6DAF">
              <w:rPr>
                <w:sz w:val="20"/>
                <w:szCs w:val="20"/>
              </w:rPr>
              <w:t>Mihanovićeva 12</w:t>
            </w:r>
          </w:p>
          <w:p w:rsidR="004C7FB0" w:rsidRPr="003F6DAF" w:rsidRDefault="004C7FB0" w:rsidP="004E3E75">
            <w:pPr>
              <w:rPr>
                <w:sz w:val="20"/>
                <w:szCs w:val="20"/>
              </w:rPr>
            </w:pPr>
            <w:r w:rsidRPr="003F6DAF">
              <w:rPr>
                <w:sz w:val="20"/>
                <w:szCs w:val="20"/>
              </w:rPr>
              <w:t>10000 Zagreb</w:t>
            </w:r>
          </w:p>
        </w:tc>
        <w:tc>
          <w:tcPr>
            <w:tcW w:w="2126" w:type="dxa"/>
            <w:vMerge w:val="restart"/>
          </w:tcPr>
          <w:p w:rsidR="004C7FB0" w:rsidRPr="003F6DAF" w:rsidRDefault="004C7FB0" w:rsidP="00B766F2">
            <w:pPr>
              <w:rPr>
                <w:sz w:val="20"/>
                <w:szCs w:val="20"/>
              </w:rPr>
            </w:pPr>
            <w:r>
              <w:rPr>
                <w:sz w:val="20"/>
                <w:szCs w:val="20"/>
              </w:rPr>
              <w:t>Prometna infrastruktura</w:t>
            </w:r>
          </w:p>
        </w:tc>
        <w:tc>
          <w:tcPr>
            <w:tcW w:w="5670" w:type="dxa"/>
          </w:tcPr>
          <w:p w:rsidR="004C7FB0" w:rsidRPr="003F6DAF" w:rsidRDefault="004C7FB0" w:rsidP="00A00090">
            <w:pPr>
              <w:jc w:val="both"/>
              <w:rPr>
                <w:sz w:val="20"/>
                <w:szCs w:val="20"/>
              </w:rPr>
            </w:pPr>
            <w:r w:rsidRPr="003F6DAF">
              <w:rPr>
                <w:sz w:val="20"/>
                <w:szCs w:val="20"/>
              </w:rPr>
              <w:t xml:space="preserve">Dokument 1 - Analiza stanja – </w:t>
            </w:r>
          </w:p>
          <w:p w:rsidR="004C7FB0" w:rsidRPr="003F6DAF" w:rsidRDefault="004C7FB0" w:rsidP="00A00090">
            <w:pPr>
              <w:jc w:val="both"/>
              <w:rPr>
                <w:sz w:val="20"/>
                <w:szCs w:val="20"/>
              </w:rPr>
            </w:pPr>
            <w:r w:rsidRPr="003F6DAF">
              <w:rPr>
                <w:sz w:val="20"/>
                <w:szCs w:val="20"/>
              </w:rPr>
              <w:t xml:space="preserve">1. </w:t>
            </w:r>
            <w:proofErr w:type="gramStart"/>
            <w:r w:rsidRPr="003F6DAF">
              <w:rPr>
                <w:sz w:val="20"/>
                <w:szCs w:val="20"/>
              </w:rPr>
              <w:t>u</w:t>
            </w:r>
            <w:proofErr w:type="gramEnd"/>
            <w:r w:rsidRPr="003F6DAF">
              <w:rPr>
                <w:sz w:val="20"/>
                <w:szCs w:val="20"/>
              </w:rPr>
              <w:t xml:space="preserve"> točki 3.6.2. Željeznički promet (str.51) potrebno navesti naziv pruge prema Odluci o razvrstavanju željezničkih pruga (NN 3/14) postojeća željezničke pruga od značaja za međunarodni promet M203 Rijeka – Šapjane -DG.</w:t>
            </w:r>
          </w:p>
          <w:p w:rsidR="004C7FB0" w:rsidRPr="003F6DAF" w:rsidRDefault="004C7FB0" w:rsidP="00A00090">
            <w:pPr>
              <w:jc w:val="both"/>
              <w:rPr>
                <w:sz w:val="20"/>
                <w:szCs w:val="20"/>
              </w:rPr>
            </w:pPr>
            <w:r w:rsidRPr="003F6DAF">
              <w:rPr>
                <w:sz w:val="20"/>
                <w:szCs w:val="20"/>
              </w:rPr>
              <w:t xml:space="preserve">2. Stajalište Brgud je ukinuto </w:t>
            </w:r>
          </w:p>
        </w:tc>
        <w:tc>
          <w:tcPr>
            <w:tcW w:w="4423" w:type="dxa"/>
          </w:tcPr>
          <w:p w:rsidR="004C7FB0" w:rsidRPr="00AE2A40" w:rsidRDefault="004C7FB0" w:rsidP="00B766F2">
            <w:pPr>
              <w:rPr>
                <w:sz w:val="20"/>
                <w:szCs w:val="20"/>
              </w:rPr>
            </w:pPr>
            <w:r w:rsidRPr="00AE2A40">
              <w:rPr>
                <w:sz w:val="20"/>
                <w:szCs w:val="20"/>
              </w:rPr>
              <w:t>Prihvaća se</w:t>
            </w:r>
          </w:p>
        </w:tc>
      </w:tr>
      <w:tr w:rsidR="004C7FB0" w:rsidTr="004C7FB0">
        <w:tc>
          <w:tcPr>
            <w:tcW w:w="709" w:type="dxa"/>
            <w:vMerge/>
          </w:tcPr>
          <w:p w:rsidR="004C7FB0" w:rsidRPr="003F6DAF" w:rsidRDefault="004C7FB0" w:rsidP="00B766F2">
            <w:pPr>
              <w:rPr>
                <w:sz w:val="20"/>
                <w:szCs w:val="20"/>
              </w:rPr>
            </w:pPr>
          </w:p>
        </w:tc>
        <w:tc>
          <w:tcPr>
            <w:tcW w:w="2268" w:type="dxa"/>
            <w:vMerge/>
          </w:tcPr>
          <w:p w:rsidR="004C7FB0" w:rsidRPr="003F6DAF" w:rsidRDefault="004C7FB0" w:rsidP="00B766F2">
            <w:pPr>
              <w:rPr>
                <w:sz w:val="20"/>
                <w:szCs w:val="20"/>
              </w:rPr>
            </w:pPr>
          </w:p>
        </w:tc>
        <w:tc>
          <w:tcPr>
            <w:tcW w:w="2126" w:type="dxa"/>
            <w:vMerge/>
          </w:tcPr>
          <w:p w:rsidR="004C7FB0" w:rsidRPr="003F6DAF" w:rsidRDefault="004C7FB0" w:rsidP="00B766F2">
            <w:pPr>
              <w:rPr>
                <w:sz w:val="20"/>
                <w:szCs w:val="20"/>
              </w:rPr>
            </w:pPr>
          </w:p>
        </w:tc>
        <w:tc>
          <w:tcPr>
            <w:tcW w:w="5670" w:type="dxa"/>
          </w:tcPr>
          <w:p w:rsidR="004C7FB0" w:rsidRPr="003F6DAF" w:rsidRDefault="004C7FB0" w:rsidP="00A97703">
            <w:pPr>
              <w:jc w:val="both"/>
              <w:rPr>
                <w:sz w:val="20"/>
                <w:szCs w:val="20"/>
              </w:rPr>
            </w:pPr>
            <w:r w:rsidRPr="000750A9">
              <w:rPr>
                <w:sz w:val="20"/>
                <w:szCs w:val="20"/>
              </w:rPr>
              <w:t>Dokument 2</w:t>
            </w:r>
            <w:r w:rsidRPr="003F6DAF">
              <w:rPr>
                <w:b/>
                <w:sz w:val="20"/>
                <w:szCs w:val="20"/>
              </w:rPr>
              <w:t xml:space="preserve"> – </w:t>
            </w:r>
            <w:r w:rsidRPr="003F6DAF">
              <w:rPr>
                <w:sz w:val="20"/>
                <w:szCs w:val="20"/>
              </w:rPr>
              <w:t>Radna verzija Prijedloga strateškog razvojnog programa Općine Matulji - na str.45 pod strateškim ciljem 2. Osnaživanje kapaciteta općine uz navedeni cilj Rekonstrukcija postojeće jednokolosiječne željezničke pruge u dvokolosiječnu potrebno navesti i rekonstrukciju postojećih kolodvora i stajališta te rekonstrukcija signalno-sigurnosnih uređaja na dionici Jurdani – Šapjane te pod Nositelja umjesto Hrvatskih željeznica potrebno navesti HŽ Infrastruktura d.o.o.</w:t>
            </w:r>
          </w:p>
        </w:tc>
        <w:tc>
          <w:tcPr>
            <w:tcW w:w="4423" w:type="dxa"/>
          </w:tcPr>
          <w:p w:rsidR="004C7FB0" w:rsidRPr="00AE2A40" w:rsidRDefault="004C7FB0" w:rsidP="00B766F2">
            <w:pPr>
              <w:rPr>
                <w:sz w:val="20"/>
                <w:szCs w:val="20"/>
              </w:rPr>
            </w:pPr>
            <w:r w:rsidRPr="00AE2A40">
              <w:rPr>
                <w:sz w:val="20"/>
                <w:szCs w:val="20"/>
              </w:rPr>
              <w:t>Prihvaća se</w:t>
            </w:r>
          </w:p>
        </w:tc>
      </w:tr>
      <w:tr w:rsidR="004C7FB0" w:rsidTr="004C7FB0">
        <w:tc>
          <w:tcPr>
            <w:tcW w:w="709" w:type="dxa"/>
            <w:vMerge/>
          </w:tcPr>
          <w:p w:rsidR="004C7FB0" w:rsidRPr="003F6DAF" w:rsidRDefault="004C7FB0" w:rsidP="00B766F2">
            <w:pPr>
              <w:rPr>
                <w:sz w:val="20"/>
                <w:szCs w:val="20"/>
              </w:rPr>
            </w:pPr>
          </w:p>
        </w:tc>
        <w:tc>
          <w:tcPr>
            <w:tcW w:w="2268" w:type="dxa"/>
            <w:vMerge/>
          </w:tcPr>
          <w:p w:rsidR="004C7FB0" w:rsidRPr="003F6DAF" w:rsidRDefault="004C7FB0" w:rsidP="00B766F2">
            <w:pPr>
              <w:rPr>
                <w:sz w:val="20"/>
                <w:szCs w:val="20"/>
              </w:rPr>
            </w:pPr>
          </w:p>
        </w:tc>
        <w:tc>
          <w:tcPr>
            <w:tcW w:w="2126" w:type="dxa"/>
            <w:vMerge/>
          </w:tcPr>
          <w:p w:rsidR="004C7FB0" w:rsidRPr="003F6DAF" w:rsidRDefault="004C7FB0" w:rsidP="00B766F2">
            <w:pPr>
              <w:rPr>
                <w:sz w:val="20"/>
                <w:szCs w:val="20"/>
              </w:rPr>
            </w:pPr>
          </w:p>
        </w:tc>
        <w:tc>
          <w:tcPr>
            <w:tcW w:w="5670" w:type="dxa"/>
          </w:tcPr>
          <w:p w:rsidR="004C7FB0" w:rsidRPr="003F6DAF" w:rsidRDefault="004C7FB0" w:rsidP="006B0D1F">
            <w:pPr>
              <w:jc w:val="both"/>
              <w:rPr>
                <w:sz w:val="20"/>
                <w:szCs w:val="20"/>
              </w:rPr>
            </w:pPr>
            <w:r w:rsidRPr="000750A9">
              <w:rPr>
                <w:sz w:val="20"/>
                <w:szCs w:val="20"/>
              </w:rPr>
              <w:t>Dokument 2</w:t>
            </w:r>
            <w:r w:rsidRPr="003F6DAF">
              <w:rPr>
                <w:b/>
                <w:sz w:val="20"/>
                <w:szCs w:val="20"/>
              </w:rPr>
              <w:t xml:space="preserve"> – </w:t>
            </w:r>
            <w:r w:rsidRPr="003F6DAF">
              <w:rPr>
                <w:sz w:val="20"/>
                <w:szCs w:val="20"/>
              </w:rPr>
              <w:t xml:space="preserve">Radna verzija Prijedloga strateškog razvojnog programa Općine </w:t>
            </w:r>
            <w:proofErr w:type="gramStart"/>
            <w:r w:rsidRPr="003F6DAF">
              <w:rPr>
                <w:sz w:val="20"/>
                <w:szCs w:val="20"/>
              </w:rPr>
              <w:t>Matulji  -</w:t>
            </w:r>
            <w:proofErr w:type="gramEnd"/>
            <w:r w:rsidRPr="003F6DAF">
              <w:rPr>
                <w:sz w:val="20"/>
                <w:szCs w:val="20"/>
              </w:rPr>
              <w:t xml:space="preserve"> na str. 55, točka 4.2. Popis planiranih razvojnih projekata Općine Matulji u razdoblju od 2015. </w:t>
            </w:r>
            <w:proofErr w:type="gramStart"/>
            <w:r w:rsidRPr="003F6DAF">
              <w:rPr>
                <w:sz w:val="20"/>
                <w:szCs w:val="20"/>
              </w:rPr>
              <w:t>do</w:t>
            </w:r>
            <w:proofErr w:type="gramEnd"/>
            <w:r w:rsidRPr="003F6DAF">
              <w:rPr>
                <w:sz w:val="20"/>
                <w:szCs w:val="20"/>
              </w:rPr>
              <w:t xml:space="preserve"> 2020. godine potrebno navesti i pripremu projektne dokumentacije za Izgradnju drugog kolosijeka, obnovu i modernizaciju na pružnoj dionici Škrljevo – Rijeka – Jurdani (projektna ideja)</w:t>
            </w:r>
          </w:p>
        </w:tc>
        <w:tc>
          <w:tcPr>
            <w:tcW w:w="4423" w:type="dxa"/>
          </w:tcPr>
          <w:p w:rsidR="004C7FB0" w:rsidRPr="00AE2A40" w:rsidRDefault="004C7FB0" w:rsidP="00B766F2">
            <w:pPr>
              <w:rPr>
                <w:sz w:val="20"/>
                <w:szCs w:val="20"/>
              </w:rPr>
            </w:pPr>
            <w:r w:rsidRPr="00AE2A40">
              <w:rPr>
                <w:sz w:val="20"/>
                <w:szCs w:val="20"/>
              </w:rPr>
              <w:t xml:space="preserve">Prihvaća se </w:t>
            </w:r>
          </w:p>
        </w:tc>
      </w:tr>
      <w:tr w:rsidR="004C7FB0" w:rsidTr="004C7FB0">
        <w:tc>
          <w:tcPr>
            <w:tcW w:w="709" w:type="dxa"/>
            <w:vMerge w:val="restart"/>
          </w:tcPr>
          <w:p w:rsidR="004C7FB0" w:rsidRDefault="004C7FB0" w:rsidP="00EF16B8">
            <w:pPr>
              <w:rPr>
                <w:sz w:val="20"/>
                <w:szCs w:val="20"/>
              </w:rPr>
            </w:pPr>
            <w:r>
              <w:rPr>
                <w:sz w:val="20"/>
                <w:szCs w:val="20"/>
              </w:rPr>
              <w:t>2.</w:t>
            </w: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tc>
        <w:tc>
          <w:tcPr>
            <w:tcW w:w="2268" w:type="dxa"/>
            <w:vMerge w:val="restart"/>
          </w:tcPr>
          <w:p w:rsidR="004C7FB0" w:rsidRDefault="004C7FB0" w:rsidP="00EF16B8">
            <w:pPr>
              <w:rPr>
                <w:sz w:val="20"/>
                <w:szCs w:val="20"/>
              </w:rPr>
            </w:pPr>
            <w:r>
              <w:rPr>
                <w:sz w:val="20"/>
                <w:szCs w:val="20"/>
              </w:rPr>
              <w:lastRenderedPageBreak/>
              <w:t>A</w:t>
            </w:r>
            <w:r w:rsidRPr="000750A9">
              <w:rPr>
                <w:sz w:val="20"/>
                <w:szCs w:val="20"/>
              </w:rPr>
              <w:t>nonimni sudionik javne rasprave</w:t>
            </w: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tc>
        <w:tc>
          <w:tcPr>
            <w:tcW w:w="2126" w:type="dxa"/>
          </w:tcPr>
          <w:p w:rsidR="004C7FB0" w:rsidRDefault="004C7FB0" w:rsidP="00EF16B8">
            <w:pPr>
              <w:rPr>
                <w:sz w:val="20"/>
                <w:szCs w:val="20"/>
              </w:rPr>
            </w:pPr>
            <w:r>
              <w:rPr>
                <w:sz w:val="20"/>
                <w:szCs w:val="20"/>
              </w:rPr>
              <w:lastRenderedPageBreak/>
              <w:t>Infrastruktura – javne tvrtke</w:t>
            </w: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Default="004C7FB0" w:rsidP="00EF16B8">
            <w:pPr>
              <w:rPr>
                <w:sz w:val="20"/>
                <w:szCs w:val="20"/>
              </w:rPr>
            </w:pPr>
          </w:p>
          <w:p w:rsidR="004C7FB0" w:rsidRPr="000750A9" w:rsidRDefault="004C7FB0" w:rsidP="00EF16B8">
            <w:pPr>
              <w:rPr>
                <w:sz w:val="20"/>
                <w:szCs w:val="20"/>
              </w:rPr>
            </w:pPr>
          </w:p>
        </w:tc>
        <w:tc>
          <w:tcPr>
            <w:tcW w:w="5670" w:type="dxa"/>
          </w:tcPr>
          <w:p w:rsidR="004C7FB0" w:rsidRPr="000750A9" w:rsidRDefault="004C7FB0" w:rsidP="00EF16B8">
            <w:pPr>
              <w:jc w:val="both"/>
              <w:rPr>
                <w:rFonts w:ascii="Calibri" w:eastAsia="Calibri" w:hAnsi="Calibri" w:cs="Arial"/>
                <w:sz w:val="20"/>
                <w:szCs w:val="20"/>
              </w:rPr>
            </w:pPr>
            <w:r w:rsidRPr="000750A9">
              <w:rPr>
                <w:rFonts w:ascii="Calibri" w:eastAsia="Calibri" w:hAnsi="Calibri" w:cs="Arial"/>
                <w:sz w:val="20"/>
                <w:szCs w:val="20"/>
              </w:rPr>
              <w:lastRenderedPageBreak/>
              <w:t xml:space="preserve">Na prijedlog strateškog programa razvoja Općine Matulji, dajem osvrt sa prijedlogom dopuna istog. </w:t>
            </w:r>
          </w:p>
          <w:p w:rsidR="004C7FB0" w:rsidRPr="000750A9" w:rsidRDefault="004C7FB0" w:rsidP="00EF16B8">
            <w:pPr>
              <w:jc w:val="both"/>
              <w:rPr>
                <w:rFonts w:ascii="Calibri" w:eastAsia="Calibri" w:hAnsi="Calibri" w:cs="Arial"/>
                <w:sz w:val="20"/>
                <w:szCs w:val="20"/>
              </w:rPr>
            </w:pPr>
            <w:r w:rsidRPr="000750A9">
              <w:rPr>
                <w:rFonts w:ascii="Calibri" w:eastAsia="Calibri" w:hAnsi="Calibri" w:cs="Arial"/>
                <w:sz w:val="20"/>
                <w:szCs w:val="20"/>
              </w:rPr>
              <w:t>U navedenom prijedlogu nisu obrađeni utjecaji nekih javnih tvrtki, na d</w:t>
            </w:r>
            <w:bookmarkStart w:id="0" w:name="_GoBack"/>
            <w:bookmarkEnd w:id="0"/>
            <w:r w:rsidRPr="000750A9">
              <w:rPr>
                <w:rFonts w:ascii="Calibri" w:eastAsia="Calibri" w:hAnsi="Calibri" w:cs="Arial"/>
                <w:sz w:val="20"/>
                <w:szCs w:val="20"/>
              </w:rPr>
              <w:t>osadašnji i budući razvoj Općine kako slijedi.</w:t>
            </w:r>
          </w:p>
          <w:p w:rsidR="004C7FB0" w:rsidRPr="000750A9" w:rsidRDefault="004C7FB0" w:rsidP="00EF16B8">
            <w:pPr>
              <w:jc w:val="both"/>
              <w:rPr>
                <w:rFonts w:ascii="Calibri" w:eastAsia="Calibri" w:hAnsi="Calibri" w:cs="Arial"/>
                <w:sz w:val="20"/>
                <w:szCs w:val="20"/>
              </w:rPr>
            </w:pPr>
            <w:r w:rsidRPr="000750A9">
              <w:rPr>
                <w:rFonts w:ascii="Calibri" w:eastAsia="Calibri" w:hAnsi="Calibri" w:cs="Arial"/>
                <w:sz w:val="20"/>
                <w:szCs w:val="20"/>
              </w:rPr>
              <w:t>Kao prvu naveo bih HEP ODS Pogon Opatija koja je do 90-</w:t>
            </w:r>
            <w:proofErr w:type="gramStart"/>
            <w:r w:rsidRPr="000750A9">
              <w:rPr>
                <w:rFonts w:ascii="Calibri" w:eastAsia="Calibri" w:hAnsi="Calibri" w:cs="Arial"/>
                <w:sz w:val="20"/>
                <w:szCs w:val="20"/>
              </w:rPr>
              <w:t>tih  godina</w:t>
            </w:r>
            <w:proofErr w:type="gramEnd"/>
            <w:r w:rsidRPr="000750A9">
              <w:rPr>
                <w:rFonts w:ascii="Calibri" w:eastAsia="Calibri" w:hAnsi="Calibri" w:cs="Arial"/>
                <w:sz w:val="20"/>
                <w:szCs w:val="20"/>
              </w:rPr>
              <w:t xml:space="preserve"> postojala pod nazivom HEP Distribucija Pogon Opatija i zapošljavala je oko 115 radnika. Danas pod nazivom HEP ODS zapošljava oko 45 radnika uz koje je angažirano za neke poslove preko kooperanata oko 10 ljudi. Nakon ove godine najavom poticajnih mjera odlaska u mirovinu, Pogon Opatija će se ugasiti. Da li je to u interesu gradova i Općina koje pokriva? Sličan odnos je </w:t>
            </w:r>
            <w:r w:rsidRPr="000750A9">
              <w:rPr>
                <w:rFonts w:ascii="Calibri" w:eastAsia="Calibri" w:hAnsi="Calibri" w:cs="Arial"/>
                <w:sz w:val="20"/>
                <w:szCs w:val="20"/>
              </w:rPr>
              <w:lastRenderedPageBreak/>
              <w:t>i HEP prijenos, danas HEP OPS, koji će se izgradnjom uprave u Matuljima preseliti iz vile Jeanet, koja će se prodati, a broj radnika znatno smanjiti.</w:t>
            </w:r>
          </w:p>
          <w:p w:rsidR="004C7FB0" w:rsidRPr="000750A9" w:rsidRDefault="004C7FB0" w:rsidP="00EF16B8">
            <w:pPr>
              <w:jc w:val="both"/>
              <w:rPr>
                <w:rFonts w:ascii="Calibri" w:eastAsia="Calibri" w:hAnsi="Calibri" w:cs="Arial"/>
                <w:sz w:val="20"/>
                <w:szCs w:val="20"/>
              </w:rPr>
            </w:pPr>
            <w:r w:rsidRPr="000750A9">
              <w:rPr>
                <w:rFonts w:ascii="Calibri" w:eastAsia="Calibri" w:hAnsi="Calibri" w:cs="Arial"/>
                <w:sz w:val="20"/>
                <w:szCs w:val="20"/>
              </w:rPr>
              <w:t>Znate li da se po potrošenom kWh plaća naknada u iznosu od 4,375lp za poticanje proizvodnje energije iz obnovljivih izvora. Za godišnju potrošnju od 6000 kWh to je 265 kn. Ta sredstva bi trebala biti namjenska. Da li se išta u ovu Općinu vraća-ulaže?</w:t>
            </w:r>
          </w:p>
          <w:p w:rsidR="004C7FB0" w:rsidRPr="000750A9" w:rsidRDefault="004C7FB0" w:rsidP="00EF16B8">
            <w:pPr>
              <w:jc w:val="both"/>
              <w:rPr>
                <w:rFonts w:ascii="Calibri" w:eastAsia="Calibri" w:hAnsi="Calibri" w:cs="Arial"/>
                <w:sz w:val="20"/>
                <w:szCs w:val="20"/>
              </w:rPr>
            </w:pPr>
            <w:r w:rsidRPr="000750A9">
              <w:rPr>
                <w:rFonts w:ascii="Calibri" w:eastAsia="Calibri" w:hAnsi="Calibri" w:cs="Arial"/>
                <w:sz w:val="20"/>
                <w:szCs w:val="20"/>
              </w:rPr>
              <w:t>Za Vodoprivredu se preko Libukoma naplaćuje određeni iznos ovisno o vodomjeru. Sredstva koja se na taj način prikupljaju trebala bi biti namjenska i jednim dijelom se vraćat na način da se rade planovi za zaštitu od bujičnih voda i eroziji tla. Koliko se ubire, a koliko se vraća?</w:t>
            </w:r>
          </w:p>
          <w:p w:rsidR="004C7FB0" w:rsidRPr="000750A9" w:rsidRDefault="004C7FB0" w:rsidP="00EF16B8">
            <w:pPr>
              <w:jc w:val="both"/>
              <w:rPr>
                <w:rFonts w:ascii="Calibri" w:eastAsia="Calibri" w:hAnsi="Calibri" w:cs="Arial"/>
                <w:sz w:val="20"/>
                <w:szCs w:val="20"/>
              </w:rPr>
            </w:pPr>
            <w:r w:rsidRPr="000750A9">
              <w:rPr>
                <w:rFonts w:ascii="Calibri" w:eastAsia="Calibri" w:hAnsi="Calibri" w:cs="Arial"/>
                <w:sz w:val="20"/>
                <w:szCs w:val="20"/>
              </w:rPr>
              <w:t>Na području Općine postoji i Ispostava Hrvatskih šuma sa sjedištem u Buzetu. Koja je njihova uloga na području Općine Matulji? Da li samo izdavat dopusnice i izvoznice uz naplatu za sječu šume na „vlastitom</w:t>
            </w:r>
            <w:proofErr w:type="gramStart"/>
            <w:r w:rsidRPr="000750A9">
              <w:rPr>
                <w:rFonts w:ascii="Calibri" w:eastAsia="Calibri" w:hAnsi="Calibri" w:cs="Arial"/>
                <w:sz w:val="20"/>
                <w:szCs w:val="20"/>
              </w:rPr>
              <w:t>“ zemljištu</w:t>
            </w:r>
            <w:proofErr w:type="gramEnd"/>
            <w:r w:rsidRPr="000750A9">
              <w:rPr>
                <w:rFonts w:ascii="Calibri" w:eastAsia="Calibri" w:hAnsi="Calibri" w:cs="Arial"/>
                <w:sz w:val="20"/>
                <w:szCs w:val="20"/>
              </w:rPr>
              <w:t xml:space="preserve">. Nekad su se unutar 20000m2 okućnice proizvodile sadnice za pošumljavanje, a danas je njihova okućnica zapuštena, najviše radi smanjenja broja zaposlenika da bi njihovi menađeri u Zagrebu mogli dobivati po nekoliko milijuna nagrade. Ako nešto i žele napraviti npr. </w:t>
            </w:r>
            <w:proofErr w:type="gramStart"/>
            <w:r w:rsidRPr="000750A9">
              <w:rPr>
                <w:rFonts w:ascii="Calibri" w:eastAsia="Calibri" w:hAnsi="Calibri" w:cs="Arial"/>
                <w:sz w:val="20"/>
                <w:szCs w:val="20"/>
              </w:rPr>
              <w:t>održavanje</w:t>
            </w:r>
            <w:proofErr w:type="gramEnd"/>
            <w:r w:rsidRPr="000750A9">
              <w:rPr>
                <w:rFonts w:ascii="Calibri" w:eastAsia="Calibri" w:hAnsi="Calibri" w:cs="Arial"/>
                <w:sz w:val="20"/>
                <w:szCs w:val="20"/>
              </w:rPr>
              <w:t xml:space="preserve"> ograde od nekoliko metara polomljene nakon srušenih stabala od nevremena, moraju preko javnog natječaja zatražiti ponude. Sva procedura traje najmanje 3 godine. Okućnicu u dijelu od oko 5-6000m2 kose možda jednom godišnje</w:t>
            </w:r>
            <w:r>
              <w:rPr>
                <w:rFonts w:cs="Arial"/>
                <w:sz w:val="20"/>
                <w:szCs w:val="20"/>
              </w:rPr>
              <w:t>,</w:t>
            </w:r>
            <w:r w:rsidRPr="000750A9">
              <w:rPr>
                <w:rFonts w:ascii="Calibri" w:eastAsia="Calibri" w:hAnsi="Calibri" w:cs="Arial"/>
                <w:sz w:val="20"/>
                <w:szCs w:val="20"/>
              </w:rPr>
              <w:t xml:space="preserve"> </w:t>
            </w:r>
            <w:proofErr w:type="gramStart"/>
            <w:r w:rsidRPr="000750A9">
              <w:rPr>
                <w:rFonts w:ascii="Calibri" w:eastAsia="Calibri" w:hAnsi="Calibri" w:cs="Arial"/>
                <w:sz w:val="20"/>
                <w:szCs w:val="20"/>
              </w:rPr>
              <w:t>a</w:t>
            </w:r>
            <w:proofErr w:type="gramEnd"/>
            <w:r w:rsidRPr="000750A9">
              <w:rPr>
                <w:rFonts w:ascii="Calibri" w:eastAsia="Calibri" w:hAnsi="Calibri" w:cs="Arial"/>
                <w:sz w:val="20"/>
                <w:szCs w:val="20"/>
              </w:rPr>
              <w:t xml:space="preserve"> ima i dosta ambrozije.</w:t>
            </w:r>
          </w:p>
          <w:p w:rsidR="004C7FB0" w:rsidRPr="000750A9" w:rsidRDefault="004C7FB0" w:rsidP="00EF16B8">
            <w:pPr>
              <w:jc w:val="both"/>
              <w:rPr>
                <w:rFonts w:ascii="Calibri" w:eastAsia="Calibri" w:hAnsi="Calibri" w:cs="Arial"/>
                <w:sz w:val="20"/>
                <w:szCs w:val="20"/>
              </w:rPr>
            </w:pPr>
            <w:r w:rsidRPr="000750A9">
              <w:rPr>
                <w:rFonts w:ascii="Calibri" w:eastAsia="Calibri" w:hAnsi="Calibri" w:cs="Arial"/>
                <w:sz w:val="20"/>
                <w:szCs w:val="20"/>
              </w:rPr>
              <w:t>Nekadašnji odvodi i drenaže su zapušteni pa kad padnu veće količine vode sa 6-7000m2 okućnice x 58 l kiše nastaju bujice koje se slijevaju prema susjednim nižim parcelama. Svake godine susjedima naprave sve više štete jer nema drenaže ni odvodnje. Ni nakon 5 godina od kada su zahtjevi za saniranjem odvodnje napisani, ništa se nije napravilo u okućnici „šumarije“. Kome da se žalimo? Od koga da tražimo pomoć kad Vaš komunalni redar nije nadležan.</w:t>
            </w:r>
          </w:p>
          <w:p w:rsidR="004C7FB0" w:rsidRPr="000750A9" w:rsidRDefault="004C7FB0" w:rsidP="00EF16B8">
            <w:pPr>
              <w:jc w:val="both"/>
              <w:rPr>
                <w:rFonts w:ascii="Calibri" w:eastAsia="Calibri" w:hAnsi="Calibri" w:cs="Arial"/>
                <w:sz w:val="20"/>
                <w:szCs w:val="20"/>
              </w:rPr>
            </w:pPr>
            <w:r w:rsidRPr="000750A9">
              <w:rPr>
                <w:rFonts w:ascii="Calibri" w:eastAsia="Calibri" w:hAnsi="Calibri" w:cs="Arial"/>
                <w:sz w:val="20"/>
                <w:szCs w:val="20"/>
              </w:rPr>
              <w:t xml:space="preserve">Koliko se poreznog prihoda od zapošljavanja i rada gubi na ovaj način? U Hep-u je prenapregnuti Pogon jer nedostaje ljudi i sredstava za redovno održavanje! Što će bit ako se ukine Pogon? Zvat ćete call centar za koji ni ne znate broj jer nije među važnijim telefonima. Ako nastane vremenska nepogoda koliko će dana dijelovi Općine bit bez struje, a gospodarstvo neće raditi jer će </w:t>
            </w:r>
            <w:r w:rsidRPr="000750A9">
              <w:rPr>
                <w:rFonts w:ascii="Calibri" w:eastAsia="Calibri" w:hAnsi="Calibri" w:cs="Arial"/>
                <w:sz w:val="20"/>
                <w:szCs w:val="20"/>
              </w:rPr>
              <w:lastRenderedPageBreak/>
              <w:t xml:space="preserve">postojati kolaps u prioritetu na području Elektroprimorja Rijeka. Neće biti ljudi koji bi trebali to raditi. Ali ni telefoni ni mobiteli neće raditi (odašiljači bez struje)! </w:t>
            </w:r>
          </w:p>
          <w:p w:rsidR="004C7FB0" w:rsidRPr="000750A9" w:rsidRDefault="004C7FB0" w:rsidP="00EF16B8">
            <w:pPr>
              <w:jc w:val="both"/>
              <w:rPr>
                <w:rFonts w:ascii="Calibri" w:eastAsia="Calibri" w:hAnsi="Calibri" w:cs="Arial"/>
                <w:sz w:val="20"/>
                <w:szCs w:val="20"/>
              </w:rPr>
            </w:pPr>
            <w:r w:rsidRPr="000750A9">
              <w:rPr>
                <w:rFonts w:ascii="Calibri" w:eastAsia="Calibri" w:hAnsi="Calibri" w:cs="Arial"/>
                <w:sz w:val="20"/>
                <w:szCs w:val="20"/>
              </w:rPr>
              <w:t>Kad će koncesionar plina nešto konkretnije poduzeti?</w:t>
            </w:r>
          </w:p>
          <w:p w:rsidR="004C7FB0" w:rsidRPr="000750A9" w:rsidRDefault="004C7FB0" w:rsidP="00EF16B8">
            <w:pPr>
              <w:jc w:val="both"/>
              <w:rPr>
                <w:rFonts w:ascii="Calibri" w:eastAsia="Calibri" w:hAnsi="Calibri" w:cs="Arial"/>
                <w:sz w:val="20"/>
                <w:szCs w:val="20"/>
              </w:rPr>
            </w:pPr>
            <w:r w:rsidRPr="000750A9">
              <w:rPr>
                <w:rFonts w:ascii="Calibri" w:eastAsia="Calibri" w:hAnsi="Calibri" w:cs="Arial"/>
                <w:sz w:val="20"/>
                <w:szCs w:val="20"/>
              </w:rPr>
              <w:t>Kad će T-kom kao vlasnik infrastrukture nešto poduzeti? Optika?</w:t>
            </w:r>
          </w:p>
          <w:p w:rsidR="004C7FB0" w:rsidRPr="000750A9" w:rsidRDefault="004C7FB0" w:rsidP="00EF16B8">
            <w:pPr>
              <w:jc w:val="both"/>
              <w:rPr>
                <w:rFonts w:ascii="Calibri" w:eastAsia="Calibri" w:hAnsi="Calibri" w:cs="Arial"/>
                <w:sz w:val="20"/>
                <w:szCs w:val="20"/>
              </w:rPr>
            </w:pPr>
            <w:r w:rsidRPr="000750A9">
              <w:rPr>
                <w:rFonts w:ascii="Calibri" w:eastAsia="Calibri" w:hAnsi="Calibri" w:cs="Arial"/>
                <w:sz w:val="20"/>
                <w:szCs w:val="20"/>
              </w:rPr>
              <w:t xml:space="preserve">Mislim da bi se ovaj stručni tim trebao osvrnuti na sadašnjost i budućnost sa direktnim smjernicama za svaku godinu, a za najmanje 5 godina, na kojima bi bio temelj rada budućeg načelnika 2017-2021.g!     </w:t>
            </w:r>
          </w:p>
        </w:tc>
        <w:tc>
          <w:tcPr>
            <w:tcW w:w="4423" w:type="dxa"/>
          </w:tcPr>
          <w:p w:rsidR="004C7FB0" w:rsidRPr="00116674" w:rsidRDefault="004C7FB0" w:rsidP="00116674">
            <w:pPr>
              <w:jc w:val="both"/>
              <w:rPr>
                <w:color w:val="000000" w:themeColor="text1"/>
                <w:sz w:val="20"/>
                <w:szCs w:val="20"/>
              </w:rPr>
            </w:pPr>
            <w:r w:rsidRPr="00116674">
              <w:rPr>
                <w:color w:val="000000" w:themeColor="text1"/>
                <w:sz w:val="20"/>
                <w:szCs w:val="20"/>
              </w:rPr>
              <w:lastRenderedPageBreak/>
              <w:t>Poslovna politika privatnih i javnih poduzeća koja djeluju na području Općine Matulji (poput HEP ODS-a) nije u nadležnosti Općine Matulji te stoga ne može biti predmetom rasprave u okviru ove javne rasprave.</w:t>
            </w:r>
          </w:p>
          <w:p w:rsidR="004C7FB0" w:rsidRPr="00AE2A40" w:rsidRDefault="004C7FB0" w:rsidP="00116674">
            <w:pPr>
              <w:jc w:val="both"/>
              <w:rPr>
                <w:sz w:val="20"/>
                <w:szCs w:val="20"/>
              </w:rPr>
            </w:pPr>
            <w:r w:rsidRPr="00116674">
              <w:rPr>
                <w:color w:val="000000" w:themeColor="text1"/>
                <w:sz w:val="20"/>
                <w:szCs w:val="20"/>
              </w:rPr>
              <w:t xml:space="preserve">Nadalje, analiza stanja je dokument koji daje uvid u trenutno stanje odabranih važnih ekonomskih, demografskih, komunalnih i ostalih obilježja Općine. Analizom nije moguće obuhvatiti pojedinačne poslovne subjekte kao niti svaki potencijalni utjecaj nekog subjekta na dinamiku </w:t>
            </w:r>
            <w:r w:rsidRPr="00116674">
              <w:rPr>
                <w:color w:val="000000" w:themeColor="text1"/>
                <w:sz w:val="20"/>
                <w:szCs w:val="20"/>
              </w:rPr>
              <w:lastRenderedPageBreak/>
              <w:t>Općine. Naposljetku, strategija je dokument konceptualnog karaktera te kao takva određuje smjernice društveno-gospodarskog razvoja Općine. Na temelju tih smjernica (tzv. strateških ciljeva i prioriteta) će se donijeti planovi operativnog karaktera koji će omogućiti realizaciju postavljenih ciljeva.</w:t>
            </w:r>
          </w:p>
        </w:tc>
      </w:tr>
      <w:tr w:rsidR="004C7FB0" w:rsidTr="004C7FB0">
        <w:tc>
          <w:tcPr>
            <w:tcW w:w="709" w:type="dxa"/>
            <w:vMerge/>
          </w:tcPr>
          <w:p w:rsidR="004C7FB0" w:rsidRDefault="004C7FB0" w:rsidP="00EF16B8"/>
        </w:tc>
        <w:tc>
          <w:tcPr>
            <w:tcW w:w="2268" w:type="dxa"/>
            <w:vMerge/>
          </w:tcPr>
          <w:p w:rsidR="004C7FB0" w:rsidRDefault="004C7FB0" w:rsidP="00EF16B8"/>
        </w:tc>
        <w:tc>
          <w:tcPr>
            <w:tcW w:w="2126" w:type="dxa"/>
          </w:tcPr>
          <w:p w:rsidR="004C7FB0" w:rsidRDefault="004C7FB0" w:rsidP="00EF16B8">
            <w:r>
              <w:rPr>
                <w:sz w:val="20"/>
                <w:szCs w:val="20"/>
              </w:rPr>
              <w:t>Naselja</w:t>
            </w:r>
          </w:p>
        </w:tc>
        <w:tc>
          <w:tcPr>
            <w:tcW w:w="5670" w:type="dxa"/>
          </w:tcPr>
          <w:p w:rsidR="004C7FB0" w:rsidRPr="00072B8F" w:rsidRDefault="004C7FB0" w:rsidP="00EF16B8">
            <w:pPr>
              <w:spacing w:line="276" w:lineRule="auto"/>
              <w:jc w:val="both"/>
              <w:rPr>
                <w:rFonts w:cs="Arial"/>
                <w:sz w:val="20"/>
                <w:szCs w:val="20"/>
              </w:rPr>
            </w:pPr>
            <w:r>
              <w:rPr>
                <w:rFonts w:ascii="Calibri" w:eastAsia="Calibri" w:hAnsi="Calibri" w:cs="Arial"/>
                <w:sz w:val="20"/>
                <w:szCs w:val="20"/>
              </w:rPr>
              <w:t>U članku teksta o naseljima na str. 15, trebalo bi kao 23 naselje navesti i naselje Frlanija, koje se spominje i 1900 godine.</w:t>
            </w:r>
          </w:p>
        </w:tc>
        <w:tc>
          <w:tcPr>
            <w:tcW w:w="4423" w:type="dxa"/>
          </w:tcPr>
          <w:p w:rsidR="004C7FB0" w:rsidRPr="00AE2A40" w:rsidRDefault="004C7FB0" w:rsidP="00280B07">
            <w:pPr>
              <w:jc w:val="both"/>
              <w:rPr>
                <w:sz w:val="20"/>
                <w:szCs w:val="20"/>
              </w:rPr>
            </w:pPr>
            <w:r w:rsidRPr="00526F37">
              <w:rPr>
                <w:rFonts w:ascii="Calibri" w:eastAsia="Calibri" w:hAnsi="Calibri" w:cs="Arial"/>
                <w:sz w:val="20"/>
                <w:szCs w:val="20"/>
              </w:rPr>
              <w:t>Način i postupak utvrđivanja granica područja naselja, spajanja i razdvajanja naselja, određivanja imena naselja, ulica i trgova određen je Zakonom o naseljima („Narodne novine</w:t>
            </w:r>
            <w:proofErr w:type="gramStart"/>
            <w:r w:rsidRPr="00526F37">
              <w:rPr>
                <w:rFonts w:ascii="Calibri" w:eastAsia="Calibri" w:hAnsi="Calibri" w:cs="Arial"/>
                <w:sz w:val="20"/>
                <w:szCs w:val="20"/>
              </w:rPr>
              <w:t>“ broj</w:t>
            </w:r>
            <w:proofErr w:type="gramEnd"/>
            <w:r w:rsidRPr="00526F37">
              <w:rPr>
                <w:rFonts w:ascii="Calibri" w:eastAsia="Calibri" w:hAnsi="Calibri" w:cs="Arial"/>
                <w:sz w:val="20"/>
                <w:szCs w:val="20"/>
              </w:rPr>
              <w:t xml:space="preserve"> 54/88) te nije predmet ovog Strateškog razvojnog programa. Zakonom o područjima županija, gradova i općina u Republici Hrvatskoj („Narodne novine“ broj 86/06, 125/06, 16/07, 95/08, 46/10, 145/10, 37/13, 44/13, 45/13, 110/15) utvrđeno je područje Općine Matulji te su u citiranom propisu navedena 23 naselja koja ulaze u sastav  Općine Matulji.</w:t>
            </w:r>
          </w:p>
        </w:tc>
      </w:tr>
      <w:tr w:rsidR="004C7FB0" w:rsidTr="004C7FB0">
        <w:tc>
          <w:tcPr>
            <w:tcW w:w="709" w:type="dxa"/>
            <w:vMerge w:val="restart"/>
          </w:tcPr>
          <w:p w:rsidR="004C7FB0" w:rsidRPr="0093138A" w:rsidRDefault="004C7FB0" w:rsidP="00EF16B8">
            <w:pPr>
              <w:rPr>
                <w:sz w:val="20"/>
                <w:szCs w:val="20"/>
              </w:rPr>
            </w:pPr>
            <w:r w:rsidRPr="0093138A">
              <w:rPr>
                <w:sz w:val="20"/>
                <w:szCs w:val="20"/>
              </w:rPr>
              <w:t>3.</w:t>
            </w:r>
          </w:p>
          <w:p w:rsidR="004C7FB0" w:rsidRPr="0093138A" w:rsidRDefault="004C7FB0" w:rsidP="00EF16B8">
            <w:pPr>
              <w:rPr>
                <w:sz w:val="20"/>
                <w:szCs w:val="20"/>
              </w:rPr>
            </w:pPr>
          </w:p>
          <w:p w:rsidR="004C7FB0" w:rsidRPr="0093138A" w:rsidRDefault="004C7FB0" w:rsidP="00EF16B8">
            <w:pPr>
              <w:rPr>
                <w:sz w:val="20"/>
                <w:szCs w:val="20"/>
              </w:rPr>
            </w:pPr>
          </w:p>
          <w:p w:rsidR="004C7FB0" w:rsidRPr="0093138A" w:rsidRDefault="004C7FB0" w:rsidP="00EF16B8">
            <w:pPr>
              <w:rPr>
                <w:sz w:val="20"/>
                <w:szCs w:val="20"/>
              </w:rPr>
            </w:pPr>
          </w:p>
          <w:p w:rsidR="004C7FB0" w:rsidRPr="0093138A" w:rsidRDefault="004C7FB0" w:rsidP="00EF16B8">
            <w:pPr>
              <w:rPr>
                <w:sz w:val="20"/>
                <w:szCs w:val="20"/>
              </w:rPr>
            </w:pPr>
          </w:p>
          <w:p w:rsidR="004C7FB0" w:rsidRPr="0093138A" w:rsidRDefault="004C7FB0" w:rsidP="00EF16B8">
            <w:pPr>
              <w:rPr>
                <w:sz w:val="20"/>
                <w:szCs w:val="20"/>
              </w:rPr>
            </w:pPr>
          </w:p>
        </w:tc>
        <w:tc>
          <w:tcPr>
            <w:tcW w:w="2268" w:type="dxa"/>
            <w:vMerge w:val="restart"/>
          </w:tcPr>
          <w:p w:rsidR="004C7FB0" w:rsidRPr="00A00090" w:rsidRDefault="004C7FB0" w:rsidP="00EF16B8">
            <w:pPr>
              <w:rPr>
                <w:sz w:val="20"/>
                <w:szCs w:val="20"/>
              </w:rPr>
            </w:pPr>
            <w:r w:rsidRPr="00A00090">
              <w:rPr>
                <w:sz w:val="20"/>
                <w:szCs w:val="20"/>
              </w:rPr>
              <w:t>Ilija Bakić</w:t>
            </w:r>
          </w:p>
          <w:p w:rsidR="004C7FB0" w:rsidRPr="00A00090" w:rsidRDefault="004C7FB0" w:rsidP="00EF16B8">
            <w:pPr>
              <w:rPr>
                <w:sz w:val="20"/>
                <w:szCs w:val="20"/>
              </w:rPr>
            </w:pPr>
            <w:r w:rsidRPr="00A00090">
              <w:rPr>
                <w:sz w:val="20"/>
                <w:szCs w:val="20"/>
              </w:rPr>
              <w:t>Ruhčev put 8</w:t>
            </w:r>
          </w:p>
          <w:p w:rsidR="004C7FB0" w:rsidRDefault="004C7FB0" w:rsidP="00EF16B8">
            <w:pPr>
              <w:rPr>
                <w:sz w:val="20"/>
                <w:szCs w:val="20"/>
              </w:rPr>
            </w:pPr>
            <w:r w:rsidRPr="00A00090">
              <w:rPr>
                <w:sz w:val="20"/>
                <w:szCs w:val="20"/>
              </w:rPr>
              <w:t>51211 Matulji</w:t>
            </w:r>
            <w:r>
              <w:rPr>
                <w:sz w:val="20"/>
                <w:szCs w:val="20"/>
              </w:rPr>
              <w:t xml:space="preserve"> – </w:t>
            </w:r>
          </w:p>
          <w:p w:rsidR="004C7FB0" w:rsidRDefault="004C7FB0" w:rsidP="00EF16B8">
            <w:pPr>
              <w:rPr>
                <w:sz w:val="20"/>
                <w:szCs w:val="20"/>
              </w:rPr>
            </w:pPr>
            <w:r>
              <w:rPr>
                <w:sz w:val="20"/>
                <w:szCs w:val="20"/>
              </w:rPr>
              <w:t xml:space="preserve">Općinski vijećnik </w:t>
            </w:r>
          </w:p>
          <w:p w:rsidR="004C7FB0" w:rsidRDefault="004C7FB0" w:rsidP="00EF16B8">
            <w:pPr>
              <w:rPr>
                <w:sz w:val="20"/>
                <w:szCs w:val="20"/>
              </w:rPr>
            </w:pPr>
          </w:p>
          <w:p w:rsidR="004C7FB0" w:rsidRDefault="004C7FB0" w:rsidP="00EF16B8">
            <w:pPr>
              <w:rPr>
                <w:sz w:val="20"/>
                <w:szCs w:val="20"/>
              </w:rPr>
            </w:pPr>
          </w:p>
          <w:p w:rsidR="004C7FB0" w:rsidRPr="00976FA3" w:rsidRDefault="004C7FB0" w:rsidP="00EF16B8"/>
        </w:tc>
        <w:tc>
          <w:tcPr>
            <w:tcW w:w="2126" w:type="dxa"/>
          </w:tcPr>
          <w:p w:rsidR="004C7FB0" w:rsidRPr="00A00090" w:rsidRDefault="004C7FB0" w:rsidP="00EF16B8">
            <w:pPr>
              <w:rPr>
                <w:sz w:val="20"/>
                <w:szCs w:val="20"/>
              </w:rPr>
            </w:pPr>
            <w:r>
              <w:rPr>
                <w:sz w:val="20"/>
                <w:szCs w:val="20"/>
              </w:rPr>
              <w:t xml:space="preserve"> Ljudski potencijali</w:t>
            </w:r>
          </w:p>
        </w:tc>
        <w:tc>
          <w:tcPr>
            <w:tcW w:w="5670" w:type="dxa"/>
          </w:tcPr>
          <w:p w:rsidR="004C7FB0" w:rsidRPr="00A00090" w:rsidRDefault="004C7FB0" w:rsidP="00EF16B8">
            <w:pPr>
              <w:autoSpaceDE w:val="0"/>
              <w:autoSpaceDN w:val="0"/>
              <w:adjustRightInd w:val="0"/>
              <w:jc w:val="both"/>
              <w:rPr>
                <w:sz w:val="20"/>
                <w:szCs w:val="20"/>
              </w:rPr>
            </w:pPr>
            <w:r w:rsidRPr="00A00090">
              <w:rPr>
                <w:rFonts w:cs="TimesNewRomanPSMT"/>
                <w:sz w:val="20"/>
                <w:szCs w:val="20"/>
                <w:lang w:val="hr-HR"/>
              </w:rPr>
              <w:t>Za provođenje strategije razvoja trebaju stratezi</w:t>
            </w:r>
            <w:r>
              <w:rPr>
                <w:rFonts w:cs="TimesNewRomanPSMT"/>
                <w:sz w:val="20"/>
                <w:szCs w:val="20"/>
                <w:lang w:val="hr-HR"/>
              </w:rPr>
              <w:t xml:space="preserve"> </w:t>
            </w:r>
            <w:r w:rsidRPr="00A00090">
              <w:rPr>
                <w:rFonts w:cs="TimesNewRomanPSMT"/>
                <w:sz w:val="20"/>
                <w:szCs w:val="20"/>
                <w:lang w:val="hr-HR"/>
              </w:rPr>
              <w:t>tj.kadrovi koji će istu provoditi,</w:t>
            </w:r>
            <w:r>
              <w:rPr>
                <w:rFonts w:cs="TimesNewRomanPSMT"/>
                <w:sz w:val="20"/>
                <w:szCs w:val="20"/>
                <w:lang w:val="hr-HR"/>
              </w:rPr>
              <w:t xml:space="preserve"> </w:t>
            </w:r>
            <w:r w:rsidRPr="00A00090">
              <w:rPr>
                <w:rFonts w:cs="TimesNewRomanPSMT"/>
                <w:sz w:val="20"/>
                <w:szCs w:val="20"/>
                <w:lang w:val="hr-HR"/>
              </w:rPr>
              <w:t>što mi u ovom</w:t>
            </w:r>
            <w:r>
              <w:rPr>
                <w:rFonts w:cs="TimesNewRomanPSMT"/>
                <w:sz w:val="20"/>
                <w:szCs w:val="20"/>
                <w:lang w:val="hr-HR"/>
              </w:rPr>
              <w:t xml:space="preserve"> </w:t>
            </w:r>
            <w:r w:rsidRPr="00A00090">
              <w:rPr>
                <w:rFonts w:cs="TimesNewRomanPSMT"/>
                <w:sz w:val="20"/>
                <w:szCs w:val="20"/>
                <w:lang w:val="hr-HR"/>
              </w:rPr>
              <w:t>momentu nemamo,treba hitno usavršavati ljudske</w:t>
            </w:r>
            <w:r>
              <w:rPr>
                <w:rFonts w:cs="TimesNewRomanPSMT"/>
                <w:sz w:val="20"/>
                <w:szCs w:val="20"/>
                <w:lang w:val="hr-HR"/>
              </w:rPr>
              <w:t xml:space="preserve"> </w:t>
            </w:r>
            <w:r w:rsidRPr="00A00090">
              <w:rPr>
                <w:rFonts w:cs="TimesNewRomanPSMT"/>
                <w:sz w:val="20"/>
                <w:szCs w:val="20"/>
                <w:lang w:val="hr-HR"/>
              </w:rPr>
              <w:t>potencijale. Zato smatramo da bi izrađivač trebao</w:t>
            </w:r>
            <w:r>
              <w:rPr>
                <w:rFonts w:cs="TimesNewRomanPSMT"/>
                <w:sz w:val="20"/>
                <w:szCs w:val="20"/>
                <w:lang w:val="hr-HR"/>
              </w:rPr>
              <w:t xml:space="preserve"> </w:t>
            </w:r>
            <w:r w:rsidRPr="00A00090">
              <w:rPr>
                <w:rFonts w:cs="TimesNewRomanPSMT"/>
                <w:sz w:val="20"/>
                <w:szCs w:val="20"/>
                <w:lang w:val="hr-HR"/>
              </w:rPr>
              <w:t>navesti kakvi su kadrovi neophodni za provedbu</w:t>
            </w:r>
            <w:r>
              <w:rPr>
                <w:rFonts w:cs="TimesNewRomanPSMT"/>
                <w:sz w:val="20"/>
                <w:szCs w:val="20"/>
                <w:lang w:val="hr-HR"/>
              </w:rPr>
              <w:t xml:space="preserve"> </w:t>
            </w:r>
            <w:r w:rsidRPr="00A00090">
              <w:rPr>
                <w:rFonts w:cs="TimesNewRomanPSMT"/>
                <w:sz w:val="20"/>
                <w:szCs w:val="20"/>
                <w:lang w:val="hr-HR"/>
              </w:rPr>
              <w:t>strategije (stručnost,motivacija,iskustvo,poznavanje stanja na cijelom području Općine, komunikativnost, odanost poslu, da im interesi nisu ispred općih i da su vezani za Matulje).</w:t>
            </w:r>
          </w:p>
        </w:tc>
        <w:tc>
          <w:tcPr>
            <w:tcW w:w="4423" w:type="dxa"/>
          </w:tcPr>
          <w:p w:rsidR="004C7FB0" w:rsidRPr="00A00090" w:rsidRDefault="004C7FB0" w:rsidP="00116674">
            <w:pPr>
              <w:jc w:val="both"/>
              <w:rPr>
                <w:sz w:val="20"/>
                <w:szCs w:val="20"/>
              </w:rPr>
            </w:pPr>
            <w:r>
              <w:rPr>
                <w:rFonts w:ascii="Calibri" w:eastAsia="Calibri" w:hAnsi="Calibri" w:cs="TimesNewRomanPSMT"/>
                <w:sz w:val="20"/>
                <w:szCs w:val="20"/>
                <w:lang w:val="hr-HR"/>
              </w:rPr>
              <w:t>S</w:t>
            </w:r>
            <w:r w:rsidRPr="00957A9C">
              <w:rPr>
                <w:rFonts w:ascii="Calibri" w:eastAsia="Calibri" w:hAnsi="Calibri" w:cs="TimesNewRomanPSMT"/>
                <w:sz w:val="20"/>
                <w:szCs w:val="20"/>
                <w:lang w:val="hr-HR"/>
              </w:rPr>
              <w:t>trategija je dokument općenitog karaktera u kojem su sadržani prioriteti i mjere te preliminarni popis projekata za ostvarivanje strateških ciljeva usmjerenih prema društveno-gospodarskom razvoju Općine Matulji</w:t>
            </w:r>
            <w:r w:rsidRPr="00116674">
              <w:rPr>
                <w:rFonts w:ascii="Calibri" w:eastAsia="Calibri" w:hAnsi="Calibri" w:cs="TimesNewRomanPSMT"/>
                <w:color w:val="000000" w:themeColor="text1"/>
                <w:sz w:val="20"/>
                <w:szCs w:val="20"/>
                <w:lang w:val="hr-HR"/>
              </w:rPr>
              <w:t>. Stoga je izvan obuhvata takvog dokumenta predviđati potrebe za usavršavanjima kadrova za konkretne zadatke te će se takve potrebe definirati naknadno. Uzimajući</w:t>
            </w:r>
            <w:r w:rsidRPr="00957A9C">
              <w:rPr>
                <w:rFonts w:ascii="Calibri" w:eastAsia="Calibri" w:hAnsi="Calibri" w:cs="TimesNewRomanPSMT"/>
                <w:sz w:val="20"/>
                <w:szCs w:val="20"/>
                <w:lang w:val="hr-HR"/>
              </w:rPr>
              <w:t xml:space="preserve"> u obzir da se radi o dokumentu koji definira opće smjernice razvoja Općine Matulji, proaktivno upravljanje i razvoj ljudskih potencijala obuhvaćeni su u Strateškom cilju 2., Osnaživanje kapaciteta Općine, Prioritet 2.5. Unaprjeđenje potencijala lokalne uprave, Mjera 2.5.2. Proaktivno upravljanje ljudskim potencijalima u kojoj je jedna od planiranih aktivnosti/ projekata upravo analiza ljudskih kapaciteta u odnosu na ciljeve i aktivnosti predviđene strateškim razvojnim programom te </w:t>
            </w:r>
            <w:r w:rsidRPr="00957A9C">
              <w:rPr>
                <w:rFonts w:ascii="Calibri" w:eastAsia="Calibri" w:hAnsi="Calibri" w:cs="TimesNewRomanPSMT"/>
                <w:sz w:val="20"/>
                <w:szCs w:val="20"/>
                <w:lang w:val="hr-HR"/>
              </w:rPr>
              <w:lastRenderedPageBreak/>
              <w:t>razrada i  implementacija sustava upravljanja ljudskim potencijalom</w:t>
            </w:r>
            <w:r>
              <w:rPr>
                <w:rFonts w:ascii="Calibri" w:eastAsia="Calibri" w:hAnsi="Calibri" w:cs="TimesNewRomanPSMT"/>
                <w:sz w:val="20"/>
                <w:szCs w:val="20"/>
                <w:lang w:val="hr-HR"/>
              </w:rPr>
              <w:t>.</w:t>
            </w:r>
          </w:p>
        </w:tc>
      </w:tr>
      <w:tr w:rsidR="004C7FB0" w:rsidTr="004C7FB0">
        <w:tc>
          <w:tcPr>
            <w:tcW w:w="709" w:type="dxa"/>
            <w:vMerge/>
          </w:tcPr>
          <w:p w:rsidR="004C7FB0" w:rsidRDefault="004C7FB0" w:rsidP="00EF16B8">
            <w:pPr>
              <w:rPr>
                <w:rFonts w:ascii="Calibri" w:hAnsi="Calibri"/>
              </w:rPr>
            </w:pPr>
          </w:p>
        </w:tc>
        <w:tc>
          <w:tcPr>
            <w:tcW w:w="2268" w:type="dxa"/>
            <w:vMerge/>
          </w:tcPr>
          <w:p w:rsidR="004C7FB0" w:rsidRDefault="004C7FB0" w:rsidP="00EF16B8">
            <w:pPr>
              <w:rPr>
                <w:rFonts w:ascii="Calibri" w:hAnsi="Calibri" w:cs="Times New Roman"/>
              </w:rPr>
            </w:pPr>
          </w:p>
        </w:tc>
        <w:tc>
          <w:tcPr>
            <w:tcW w:w="2126" w:type="dxa"/>
          </w:tcPr>
          <w:p w:rsidR="004C7FB0" w:rsidRDefault="004C7FB0" w:rsidP="00EF16B8">
            <w:pPr>
              <w:rPr>
                <w:rFonts w:ascii="Calibri" w:hAnsi="Calibri" w:cs="Times New Roman"/>
              </w:rPr>
            </w:pPr>
            <w:r w:rsidRPr="004E3E75">
              <w:rPr>
                <w:sz w:val="20"/>
                <w:szCs w:val="20"/>
              </w:rPr>
              <w:t>Stanovništvo</w:t>
            </w:r>
          </w:p>
        </w:tc>
        <w:tc>
          <w:tcPr>
            <w:tcW w:w="5670" w:type="dxa"/>
          </w:tcPr>
          <w:p w:rsidR="004C7FB0" w:rsidRPr="00A00090" w:rsidRDefault="004C7FB0" w:rsidP="00EF16B8">
            <w:pPr>
              <w:autoSpaceDE w:val="0"/>
              <w:autoSpaceDN w:val="0"/>
              <w:adjustRightInd w:val="0"/>
              <w:jc w:val="both"/>
              <w:rPr>
                <w:rFonts w:cs="Times New Roman"/>
                <w:sz w:val="20"/>
                <w:szCs w:val="20"/>
              </w:rPr>
            </w:pPr>
            <w:r w:rsidRPr="00A00090">
              <w:rPr>
                <w:rFonts w:cs="TimesNewRomanPSMT"/>
                <w:sz w:val="20"/>
                <w:szCs w:val="20"/>
                <w:lang w:val="hr-HR"/>
              </w:rPr>
              <w:t>Neadekvatno integriranje novopridošlih stanovnika. Ublažiti konstataciju i navesti da se novopridošli dobro uklapaju i da treba nastojati da im se pruža prilika da ubuduće budu brže i kvalitetnije integrirani.</w:t>
            </w:r>
          </w:p>
        </w:tc>
        <w:tc>
          <w:tcPr>
            <w:tcW w:w="4423" w:type="dxa"/>
          </w:tcPr>
          <w:p w:rsidR="004C7FB0" w:rsidRPr="00AE2A40" w:rsidRDefault="004C7FB0" w:rsidP="00EF16B8">
            <w:pPr>
              <w:rPr>
                <w:sz w:val="20"/>
                <w:szCs w:val="20"/>
              </w:rPr>
            </w:pPr>
            <w:r w:rsidRPr="00AE2A40">
              <w:rPr>
                <w:sz w:val="20"/>
                <w:szCs w:val="20"/>
              </w:rPr>
              <w:t xml:space="preserve">Prihvaća se </w:t>
            </w:r>
          </w:p>
        </w:tc>
      </w:tr>
      <w:tr w:rsidR="004C7FB0" w:rsidTr="004C7FB0">
        <w:tc>
          <w:tcPr>
            <w:tcW w:w="709" w:type="dxa"/>
            <w:vMerge/>
          </w:tcPr>
          <w:p w:rsidR="004C7FB0" w:rsidRDefault="004C7FB0" w:rsidP="00EF16B8">
            <w:pPr>
              <w:rPr>
                <w:rFonts w:ascii="Calibri" w:hAnsi="Calibri"/>
              </w:rPr>
            </w:pPr>
          </w:p>
        </w:tc>
        <w:tc>
          <w:tcPr>
            <w:tcW w:w="2268" w:type="dxa"/>
            <w:vMerge/>
          </w:tcPr>
          <w:p w:rsidR="004C7FB0" w:rsidRDefault="004C7FB0" w:rsidP="00EF16B8">
            <w:pPr>
              <w:rPr>
                <w:rFonts w:ascii="Calibri" w:hAnsi="Calibri" w:cs="Times New Roman"/>
              </w:rPr>
            </w:pPr>
          </w:p>
        </w:tc>
        <w:tc>
          <w:tcPr>
            <w:tcW w:w="2126" w:type="dxa"/>
          </w:tcPr>
          <w:p w:rsidR="004C7FB0" w:rsidRDefault="004C7FB0" w:rsidP="00EF16B8">
            <w:pPr>
              <w:rPr>
                <w:rFonts w:ascii="Calibri" w:hAnsi="Calibri" w:cs="Times New Roman"/>
              </w:rPr>
            </w:pPr>
            <w:r w:rsidRPr="004E3E75">
              <w:rPr>
                <w:sz w:val="20"/>
                <w:szCs w:val="20"/>
              </w:rPr>
              <w:t>Poduzetništvo</w:t>
            </w:r>
          </w:p>
        </w:tc>
        <w:tc>
          <w:tcPr>
            <w:tcW w:w="5670" w:type="dxa"/>
          </w:tcPr>
          <w:p w:rsidR="004C7FB0" w:rsidRPr="00D1379E" w:rsidRDefault="004C7FB0" w:rsidP="00EF16B8">
            <w:pPr>
              <w:autoSpaceDE w:val="0"/>
              <w:autoSpaceDN w:val="0"/>
              <w:adjustRightInd w:val="0"/>
              <w:jc w:val="both"/>
              <w:rPr>
                <w:rFonts w:cs="TimesNewRomanPSMT"/>
                <w:sz w:val="20"/>
                <w:szCs w:val="20"/>
                <w:lang w:val="hr-HR"/>
              </w:rPr>
            </w:pPr>
            <w:r w:rsidRPr="00D1379E">
              <w:rPr>
                <w:rFonts w:cs="TimesNewRomanPSMT"/>
                <w:sz w:val="20"/>
                <w:szCs w:val="20"/>
                <w:lang w:val="hr-HR"/>
              </w:rPr>
              <w:t>Poduzetničke zone nisu iskorištene zbog toga što</w:t>
            </w:r>
            <w:r>
              <w:rPr>
                <w:rFonts w:cs="TimesNewRomanPSMT"/>
                <w:sz w:val="20"/>
                <w:szCs w:val="20"/>
                <w:lang w:val="hr-HR"/>
              </w:rPr>
              <w:t xml:space="preserve"> </w:t>
            </w:r>
            <w:r w:rsidRPr="00D1379E">
              <w:rPr>
                <w:rFonts w:cs="TimesNewRomanPSMT"/>
                <w:sz w:val="20"/>
                <w:szCs w:val="20"/>
                <w:lang w:val="hr-HR"/>
              </w:rPr>
              <w:t>je većinom zemljište privatno vlasništvo.Treba uvesti porez vlasnicima koji drže neiskorišteno zemljište, pa će oni spustiti cijenu zemljišta, jer jedan dio zemljišta vlasnici su stekli kupovinom zemljišta za mali novac znajući da će postati građevinsko i kad se to dogodilo digli su cijenu. Uvođenjem poreza, komunalne naknade i sl. primoralo bi ih se da aktiviraju zemljište ili ga prodaju po pristupačnim cijenama.</w:t>
            </w:r>
          </w:p>
        </w:tc>
        <w:tc>
          <w:tcPr>
            <w:tcW w:w="4423" w:type="dxa"/>
          </w:tcPr>
          <w:p w:rsidR="004C7FB0" w:rsidRPr="00116674" w:rsidRDefault="004C7FB0" w:rsidP="00116674">
            <w:pPr>
              <w:jc w:val="both"/>
              <w:rPr>
                <w:color w:val="000000" w:themeColor="text1"/>
              </w:rPr>
            </w:pPr>
            <w:r w:rsidRPr="00116674">
              <w:rPr>
                <w:color w:val="000000" w:themeColor="text1"/>
                <w:sz w:val="20"/>
                <w:szCs w:val="20"/>
              </w:rPr>
              <w:t xml:space="preserve">Analizom je utvrđeno da model vlasništva bitno utječe na koristi koje Općina ima od uspostavljanja i eksploatacije poduzetničkih zona te se taj nalaz treba uzeti u obzir prilikom uspostavljanja novih poduzetničkih zona. Međutim, koliko god nečije mišljenje bilo racionalno i, u ovom slučaju, ekonomski utemeljeno, u stečena prava Općina ne može zadirati, niti je u njenoj ingerenciji uvoditi nove poreze ili ubirati poreze izvan onih koji joj po zakonu pripadaju.    </w:t>
            </w:r>
          </w:p>
        </w:tc>
      </w:tr>
      <w:tr w:rsidR="004C7FB0" w:rsidTr="004C7FB0">
        <w:tc>
          <w:tcPr>
            <w:tcW w:w="709" w:type="dxa"/>
            <w:vMerge/>
          </w:tcPr>
          <w:p w:rsidR="004C7FB0" w:rsidRDefault="004C7FB0" w:rsidP="00EF16B8">
            <w:pPr>
              <w:jc w:val="both"/>
              <w:rPr>
                <w:rFonts w:ascii="Calibri" w:hAnsi="Calibri"/>
              </w:rPr>
            </w:pPr>
          </w:p>
        </w:tc>
        <w:tc>
          <w:tcPr>
            <w:tcW w:w="2268" w:type="dxa"/>
            <w:vMerge/>
          </w:tcPr>
          <w:p w:rsidR="004C7FB0" w:rsidRPr="00A55389" w:rsidRDefault="004C7FB0" w:rsidP="00EF16B8">
            <w:pPr>
              <w:rPr>
                <w:rFonts w:ascii="Calibri" w:hAnsi="Calibri"/>
              </w:rPr>
            </w:pPr>
          </w:p>
        </w:tc>
        <w:tc>
          <w:tcPr>
            <w:tcW w:w="2126" w:type="dxa"/>
          </w:tcPr>
          <w:p w:rsidR="004C7FB0" w:rsidRPr="00A55389" w:rsidRDefault="004C7FB0" w:rsidP="00EF16B8">
            <w:pPr>
              <w:rPr>
                <w:rFonts w:ascii="Calibri" w:hAnsi="Calibri"/>
              </w:rPr>
            </w:pPr>
            <w:r w:rsidRPr="004E3E75">
              <w:rPr>
                <w:sz w:val="20"/>
                <w:szCs w:val="20"/>
              </w:rPr>
              <w:t>Turizam</w:t>
            </w:r>
          </w:p>
        </w:tc>
        <w:tc>
          <w:tcPr>
            <w:tcW w:w="5670" w:type="dxa"/>
          </w:tcPr>
          <w:p w:rsidR="004C7FB0" w:rsidRPr="002028C6" w:rsidRDefault="004C7FB0" w:rsidP="00EF16B8">
            <w:pPr>
              <w:autoSpaceDE w:val="0"/>
              <w:autoSpaceDN w:val="0"/>
              <w:adjustRightInd w:val="0"/>
              <w:jc w:val="both"/>
              <w:rPr>
                <w:rFonts w:cs="TimesNewRomanPSMT"/>
                <w:sz w:val="20"/>
                <w:szCs w:val="20"/>
                <w:lang w:val="hr-HR"/>
              </w:rPr>
            </w:pPr>
            <w:r w:rsidRPr="002028C6">
              <w:rPr>
                <w:rFonts w:cs="TimesNewRomanPSMT"/>
                <w:sz w:val="20"/>
                <w:szCs w:val="20"/>
                <w:lang w:val="hr-HR"/>
              </w:rPr>
              <w:t>Kod turizma nije predloženo ništa konkretno. Treba predložiti stanovnicima koji su to resursi i kako ih koristiti.</w:t>
            </w:r>
            <w:r>
              <w:rPr>
                <w:rFonts w:cs="TimesNewRomanPSMT"/>
                <w:sz w:val="20"/>
                <w:szCs w:val="20"/>
                <w:lang w:val="hr-HR"/>
              </w:rPr>
              <w:t xml:space="preserve"> </w:t>
            </w:r>
            <w:r w:rsidRPr="002028C6">
              <w:rPr>
                <w:rFonts w:cs="TimesNewRomanPSMT"/>
                <w:sz w:val="20"/>
                <w:szCs w:val="20"/>
                <w:lang w:val="hr-HR"/>
              </w:rPr>
              <w:t>Osim soba i apartmana treba povećati i poboljšati ugostiteljsku uslugu (konobe, seoski turizam, jela sa ražnja, domaći specijaliteti i dr.). Izrada i prodaja</w:t>
            </w:r>
            <w:r>
              <w:rPr>
                <w:rFonts w:cs="TimesNewRomanPSMT"/>
                <w:sz w:val="20"/>
                <w:szCs w:val="20"/>
                <w:lang w:val="hr-HR"/>
              </w:rPr>
              <w:t xml:space="preserve"> </w:t>
            </w:r>
            <w:r w:rsidRPr="002028C6">
              <w:rPr>
                <w:rFonts w:cs="TimesNewRomanPSMT"/>
                <w:sz w:val="20"/>
                <w:szCs w:val="20"/>
                <w:lang w:val="hr-HR"/>
              </w:rPr>
              <w:t>suvenira, izgradnja izletišta na Lisini, zdravstveni</w:t>
            </w:r>
          </w:p>
          <w:p w:rsidR="004C7FB0" w:rsidRPr="00A55389" w:rsidRDefault="004C7FB0" w:rsidP="00EF16B8">
            <w:pPr>
              <w:jc w:val="both"/>
              <w:rPr>
                <w:rFonts w:ascii="Calibri" w:hAnsi="Calibri"/>
              </w:rPr>
            </w:pPr>
            <w:r w:rsidRPr="002028C6">
              <w:rPr>
                <w:rFonts w:cs="TimesNewRomanPSMT"/>
                <w:sz w:val="20"/>
                <w:szCs w:val="20"/>
                <w:lang w:val="hr-HR"/>
              </w:rPr>
              <w:t>turizam, rekreacioni i slično.</w:t>
            </w:r>
          </w:p>
        </w:tc>
        <w:tc>
          <w:tcPr>
            <w:tcW w:w="4423" w:type="dxa"/>
          </w:tcPr>
          <w:p w:rsidR="004C7FB0" w:rsidRDefault="004C7FB0" w:rsidP="00301BE2">
            <w:pPr>
              <w:jc w:val="both"/>
              <w:rPr>
                <w:color w:val="FF0000"/>
              </w:rPr>
            </w:pPr>
            <w:r w:rsidRPr="00116674">
              <w:rPr>
                <w:rFonts w:ascii="Calibri" w:eastAsia="Calibri" w:hAnsi="Calibri" w:cs="TimesNewRomanPSMT"/>
                <w:color w:val="000000" w:themeColor="text1"/>
                <w:sz w:val="20"/>
                <w:szCs w:val="20"/>
                <w:lang w:val="hr-HR"/>
              </w:rPr>
              <w:t xml:space="preserve">Strategija je tek okvir za ostvarivanje strateških ciljeva usmjerenih prema društveno-gospodarskom razvoju. Njime se ne definiraju operativni planovi već omogućava prostor za njihovo donošenje. Tako je u prijedlogu Strateškog razvojnog programa Općine Matulji za razdoblje od 2016. do 2020. za javnu raspravu razvoj turističke infrastrukture i turističke ponude obuhvaćen u </w:t>
            </w:r>
            <w:r>
              <w:rPr>
                <w:rFonts w:ascii="Calibri" w:eastAsia="Calibri" w:hAnsi="Calibri" w:cs="TimesNewRomanPSMT"/>
                <w:sz w:val="20"/>
                <w:szCs w:val="20"/>
                <w:lang w:val="hr-HR"/>
              </w:rPr>
              <w:t>Strateškom cilju 1. Jačanje konkurentnosti gospodarstva, Prioritetu 1.3. Potpora razvoju integralne turističke ponude, u Mjeri 1.3.1. Razvoj i unaprjeđenje turističke ponude te Mjeri 1.3.2. Potpora osmišljavanju i izgradnji turističke infrastrukture te u Strateškom cilju 2., Osnaživanje kapaciteta Općine, Prioritet 2.2. Razvoj, unaprjeđenje i održavanje društvene infrastrukture, Mjera 2.2.3. Izgradnja i održavanje društvene infrastrukture.</w:t>
            </w:r>
          </w:p>
        </w:tc>
      </w:tr>
      <w:tr w:rsidR="004C7FB0" w:rsidTr="004C7FB0">
        <w:tc>
          <w:tcPr>
            <w:tcW w:w="709" w:type="dxa"/>
            <w:vMerge/>
          </w:tcPr>
          <w:p w:rsidR="004C7FB0" w:rsidRDefault="004C7FB0" w:rsidP="00EF16B8">
            <w:pPr>
              <w:jc w:val="both"/>
              <w:rPr>
                <w:rFonts w:ascii="Calibri" w:hAnsi="Calibri"/>
              </w:rPr>
            </w:pPr>
          </w:p>
        </w:tc>
        <w:tc>
          <w:tcPr>
            <w:tcW w:w="2268" w:type="dxa"/>
            <w:vMerge/>
          </w:tcPr>
          <w:p w:rsidR="004C7FB0" w:rsidRPr="00A55389" w:rsidRDefault="004C7FB0" w:rsidP="00EF16B8">
            <w:pPr>
              <w:rPr>
                <w:rFonts w:ascii="Calibri" w:hAnsi="Calibri"/>
              </w:rPr>
            </w:pPr>
          </w:p>
        </w:tc>
        <w:tc>
          <w:tcPr>
            <w:tcW w:w="2126" w:type="dxa"/>
          </w:tcPr>
          <w:p w:rsidR="004C7FB0" w:rsidRPr="004E3E75" w:rsidRDefault="004C7FB0" w:rsidP="00EF16B8">
            <w:pPr>
              <w:rPr>
                <w:sz w:val="20"/>
                <w:szCs w:val="20"/>
              </w:rPr>
            </w:pPr>
            <w:r w:rsidRPr="004E3E75">
              <w:rPr>
                <w:sz w:val="20"/>
                <w:szCs w:val="20"/>
              </w:rPr>
              <w:t xml:space="preserve">Životni standard stanovnika </w:t>
            </w:r>
          </w:p>
        </w:tc>
        <w:tc>
          <w:tcPr>
            <w:tcW w:w="5670" w:type="dxa"/>
          </w:tcPr>
          <w:p w:rsidR="004C7FB0" w:rsidRPr="002028C6" w:rsidRDefault="004C7FB0" w:rsidP="00EF16B8">
            <w:pPr>
              <w:autoSpaceDE w:val="0"/>
              <w:autoSpaceDN w:val="0"/>
              <w:adjustRightInd w:val="0"/>
              <w:jc w:val="both"/>
              <w:rPr>
                <w:rFonts w:cs="TimesNewRomanPSMT"/>
                <w:sz w:val="20"/>
                <w:szCs w:val="20"/>
                <w:lang w:val="hr-HR"/>
              </w:rPr>
            </w:pPr>
            <w:r w:rsidRPr="002028C6">
              <w:rPr>
                <w:rFonts w:cs="TimesNewRomanPSMT"/>
                <w:sz w:val="20"/>
                <w:szCs w:val="20"/>
                <w:lang w:val="hr-HR"/>
              </w:rPr>
              <w:t>Spominje se često unapređenje standarda</w:t>
            </w:r>
            <w:r>
              <w:rPr>
                <w:rFonts w:cs="TimesNewRomanPSMT"/>
                <w:sz w:val="20"/>
                <w:szCs w:val="20"/>
                <w:lang w:val="hr-HR"/>
              </w:rPr>
              <w:t xml:space="preserve"> </w:t>
            </w:r>
            <w:r w:rsidRPr="002028C6">
              <w:rPr>
                <w:rFonts w:cs="TimesNewRomanPSMT"/>
                <w:sz w:val="20"/>
                <w:szCs w:val="20"/>
                <w:lang w:val="hr-HR"/>
              </w:rPr>
              <w:t>stanovništva i najčešče se navode razne</w:t>
            </w:r>
            <w:r>
              <w:rPr>
                <w:rFonts w:cs="TimesNewRomanPSMT"/>
                <w:sz w:val="20"/>
                <w:szCs w:val="20"/>
                <w:lang w:val="hr-HR"/>
              </w:rPr>
              <w:t xml:space="preserve"> </w:t>
            </w:r>
            <w:r w:rsidRPr="002028C6">
              <w:rPr>
                <w:rFonts w:cs="TimesNewRomanPSMT"/>
                <w:sz w:val="20"/>
                <w:szCs w:val="20"/>
                <w:lang w:val="hr-HR"/>
              </w:rPr>
              <w:t>kulturne manifestacije kao što su izložbe, nastupi</w:t>
            </w:r>
          </w:p>
          <w:p w:rsidR="004C7FB0" w:rsidRPr="002028C6" w:rsidRDefault="004C7FB0" w:rsidP="00EF16B8">
            <w:pPr>
              <w:autoSpaceDE w:val="0"/>
              <w:autoSpaceDN w:val="0"/>
              <w:adjustRightInd w:val="0"/>
              <w:jc w:val="both"/>
              <w:rPr>
                <w:rFonts w:cs="TimesNewRomanPSMT"/>
                <w:sz w:val="20"/>
                <w:szCs w:val="20"/>
                <w:lang w:val="hr-HR"/>
              </w:rPr>
            </w:pPr>
            <w:r w:rsidRPr="002028C6">
              <w:rPr>
                <w:rFonts w:cs="TimesNewRomanPSMT"/>
                <w:sz w:val="20"/>
                <w:szCs w:val="20"/>
                <w:lang w:val="hr-HR"/>
              </w:rPr>
              <w:t>umjetnika, razne fešte itd. to je sve lijepo, ali da bi</w:t>
            </w:r>
            <w:r>
              <w:rPr>
                <w:rFonts w:cs="TimesNewRomanPSMT"/>
                <w:sz w:val="20"/>
                <w:szCs w:val="20"/>
                <w:lang w:val="hr-HR"/>
              </w:rPr>
              <w:t xml:space="preserve"> </w:t>
            </w:r>
            <w:r w:rsidRPr="002028C6">
              <w:rPr>
                <w:rFonts w:cs="TimesNewRomanPSMT"/>
                <w:sz w:val="20"/>
                <w:szCs w:val="20"/>
                <w:lang w:val="hr-HR"/>
              </w:rPr>
              <w:t>to koristili moramo imati sve ostalo dobre</w:t>
            </w:r>
            <w:r>
              <w:rPr>
                <w:rFonts w:cs="TimesNewRomanPSMT"/>
                <w:sz w:val="20"/>
                <w:szCs w:val="20"/>
                <w:lang w:val="hr-HR"/>
              </w:rPr>
              <w:t xml:space="preserve"> </w:t>
            </w:r>
            <w:r w:rsidRPr="002028C6">
              <w:rPr>
                <w:rFonts w:cs="TimesNewRomanPSMT"/>
                <w:sz w:val="20"/>
                <w:szCs w:val="20"/>
                <w:lang w:val="hr-HR"/>
              </w:rPr>
              <w:t>prometnice, nogostupe, pješačke</w:t>
            </w:r>
          </w:p>
          <w:p w:rsidR="004C7FB0" w:rsidRPr="002028C6" w:rsidRDefault="004C7FB0" w:rsidP="00EF16B8">
            <w:pPr>
              <w:autoSpaceDE w:val="0"/>
              <w:autoSpaceDN w:val="0"/>
              <w:adjustRightInd w:val="0"/>
              <w:jc w:val="both"/>
              <w:rPr>
                <w:rFonts w:cs="TimesNewRomanPSMT"/>
                <w:sz w:val="20"/>
                <w:szCs w:val="20"/>
                <w:lang w:val="hr-HR"/>
              </w:rPr>
            </w:pPr>
            <w:r w:rsidRPr="002028C6">
              <w:rPr>
                <w:rFonts w:cs="TimesNewRomanPSMT"/>
                <w:sz w:val="20"/>
                <w:szCs w:val="20"/>
                <w:lang w:val="hr-HR"/>
              </w:rPr>
              <w:lastRenderedPageBreak/>
              <w:t>prijelaze, parkove, odmorišta, mjesta gdje bi se</w:t>
            </w:r>
            <w:r>
              <w:rPr>
                <w:rFonts w:cs="TimesNewRomanPSMT"/>
                <w:sz w:val="20"/>
                <w:szCs w:val="20"/>
                <w:lang w:val="hr-HR"/>
              </w:rPr>
              <w:t xml:space="preserve"> </w:t>
            </w:r>
            <w:r w:rsidRPr="002028C6">
              <w:rPr>
                <w:rFonts w:cs="TimesNewRomanPSMT"/>
                <w:sz w:val="20"/>
                <w:szCs w:val="20"/>
                <w:lang w:val="hr-HR"/>
              </w:rPr>
              <w:t>građani okupljali, trgovi i šetnice.</w:t>
            </w:r>
            <w:r>
              <w:rPr>
                <w:rFonts w:cs="TimesNewRomanPSMT"/>
                <w:sz w:val="20"/>
                <w:szCs w:val="20"/>
                <w:lang w:val="hr-HR"/>
              </w:rPr>
              <w:t xml:space="preserve"> </w:t>
            </w:r>
            <w:r w:rsidRPr="002028C6">
              <w:rPr>
                <w:rFonts w:cs="TimesNewRomanPSMT"/>
                <w:sz w:val="20"/>
                <w:szCs w:val="20"/>
                <w:lang w:val="hr-HR"/>
              </w:rPr>
              <w:t>Matuljima treba tržnica, jer sve manje stanovnika</w:t>
            </w:r>
          </w:p>
          <w:p w:rsidR="004C7FB0" w:rsidRPr="002028C6" w:rsidRDefault="004C7FB0" w:rsidP="00EF16B8">
            <w:pPr>
              <w:autoSpaceDE w:val="0"/>
              <w:autoSpaceDN w:val="0"/>
              <w:adjustRightInd w:val="0"/>
              <w:jc w:val="both"/>
              <w:rPr>
                <w:rFonts w:cs="TimesNewRomanPSMT"/>
                <w:sz w:val="20"/>
                <w:szCs w:val="20"/>
                <w:lang w:val="hr-HR"/>
              </w:rPr>
            </w:pPr>
            <w:r w:rsidRPr="002028C6">
              <w:rPr>
                <w:rFonts w:cs="TimesNewRomanPSMT"/>
                <w:sz w:val="20"/>
                <w:szCs w:val="20"/>
                <w:lang w:val="hr-HR"/>
              </w:rPr>
              <w:t>obrađuje vrtove, centri i veletržnica ne mogu</w:t>
            </w:r>
            <w:r>
              <w:rPr>
                <w:rFonts w:cs="TimesNewRomanPSMT"/>
                <w:sz w:val="20"/>
                <w:szCs w:val="20"/>
                <w:lang w:val="hr-HR"/>
              </w:rPr>
              <w:t xml:space="preserve"> </w:t>
            </w:r>
            <w:r w:rsidRPr="002028C6">
              <w:rPr>
                <w:rFonts w:cs="TimesNewRomanPSMT"/>
                <w:sz w:val="20"/>
                <w:szCs w:val="20"/>
                <w:lang w:val="hr-HR"/>
              </w:rPr>
              <w:t>zamjeniti mjesnu tržnicu. Kad sve to imate i steknu se navike, te bude bilo sredstava tada će biti potražnja za kulturnim sadržajima veća.</w:t>
            </w:r>
          </w:p>
        </w:tc>
        <w:tc>
          <w:tcPr>
            <w:tcW w:w="4423" w:type="dxa"/>
          </w:tcPr>
          <w:p w:rsidR="004C7FB0" w:rsidRDefault="004C7FB0" w:rsidP="00EF16B8">
            <w:pPr>
              <w:jc w:val="both"/>
              <w:rPr>
                <w:color w:val="FF0000"/>
              </w:rPr>
            </w:pPr>
            <w:r w:rsidRPr="00770BB9">
              <w:rPr>
                <w:rFonts w:ascii="Calibri" w:eastAsia="Calibri" w:hAnsi="Calibri" w:cs="TimesNewRomanPSMT"/>
                <w:sz w:val="20"/>
                <w:szCs w:val="20"/>
                <w:lang w:val="hr-HR"/>
              </w:rPr>
              <w:lastRenderedPageBreak/>
              <w:t xml:space="preserve">Razvoj, unaprjeđenje i održavanje svih vrsta infrastrukture (komunalne, društvene, prometne, energetske) te unaprjeđenje potencijala lokalne uprave obuhvaćeni su u Strateškom cilju 2. </w:t>
            </w:r>
            <w:r w:rsidRPr="00770BB9">
              <w:rPr>
                <w:rFonts w:ascii="Calibri" w:eastAsia="Calibri" w:hAnsi="Calibri" w:cs="TimesNewRomanPSMT"/>
                <w:sz w:val="20"/>
                <w:szCs w:val="20"/>
                <w:lang w:val="hr-HR"/>
              </w:rPr>
              <w:lastRenderedPageBreak/>
              <w:t xml:space="preserve">Osnaživanje kapaciteta Općine.  </w:t>
            </w:r>
            <w:r>
              <w:rPr>
                <w:rFonts w:ascii="Calibri" w:eastAsia="Calibri" w:hAnsi="Calibri" w:cs="TimesNewRomanPSMT"/>
                <w:sz w:val="20"/>
                <w:szCs w:val="20"/>
                <w:lang w:val="hr-HR"/>
              </w:rPr>
              <w:t xml:space="preserve">Kako bi se unaprijedio životni standard svih stanovnika Općine Matulji Strateškim ciljem 3. Unaprjeđenje životnog standarda stanovnika, predviđeni su prioriteti razvoja i to Prioritet 3.1. </w:t>
            </w:r>
            <w:r w:rsidRPr="00770BB9">
              <w:rPr>
                <w:rFonts w:ascii="Calibri" w:eastAsia="Calibri" w:hAnsi="Calibri" w:cs="TimesNewRomanPSMT"/>
                <w:sz w:val="20"/>
                <w:szCs w:val="20"/>
                <w:lang w:val="hr-HR"/>
              </w:rPr>
              <w:t>Podrška kulturnim i sportskim programima te programima civilnog društva, Prioritet 3.2. Podrška zdravstvenim programima i programima socijalne skrbi te Prioritet 3.3. Podrška unaprjeđenju sustava odgoja i obrazovanja te poticanje razvoja cjeloživotnog obrazovanja.</w:t>
            </w:r>
          </w:p>
        </w:tc>
      </w:tr>
      <w:tr w:rsidR="004C7FB0" w:rsidTr="004C7FB0">
        <w:tc>
          <w:tcPr>
            <w:tcW w:w="709" w:type="dxa"/>
            <w:vMerge/>
          </w:tcPr>
          <w:p w:rsidR="004C7FB0" w:rsidRDefault="004C7FB0" w:rsidP="00301BE2">
            <w:pPr>
              <w:jc w:val="both"/>
              <w:rPr>
                <w:rFonts w:ascii="Calibri" w:hAnsi="Calibri"/>
              </w:rPr>
            </w:pPr>
          </w:p>
        </w:tc>
        <w:tc>
          <w:tcPr>
            <w:tcW w:w="2268" w:type="dxa"/>
            <w:vMerge/>
          </w:tcPr>
          <w:p w:rsidR="004C7FB0" w:rsidRPr="00A55389" w:rsidRDefault="004C7FB0" w:rsidP="00301BE2">
            <w:pPr>
              <w:rPr>
                <w:rFonts w:ascii="Calibri" w:hAnsi="Calibri"/>
              </w:rPr>
            </w:pPr>
          </w:p>
        </w:tc>
        <w:tc>
          <w:tcPr>
            <w:tcW w:w="2126" w:type="dxa"/>
          </w:tcPr>
          <w:p w:rsidR="004C7FB0" w:rsidRPr="00A55389" w:rsidRDefault="004C7FB0" w:rsidP="00301BE2">
            <w:pPr>
              <w:rPr>
                <w:rFonts w:ascii="Calibri" w:hAnsi="Calibri"/>
              </w:rPr>
            </w:pPr>
            <w:r w:rsidRPr="004E3E75">
              <w:rPr>
                <w:sz w:val="20"/>
                <w:szCs w:val="20"/>
              </w:rPr>
              <w:t>Stanovništvo treće životne dobi</w:t>
            </w:r>
          </w:p>
        </w:tc>
        <w:tc>
          <w:tcPr>
            <w:tcW w:w="5670" w:type="dxa"/>
          </w:tcPr>
          <w:p w:rsidR="004C7FB0" w:rsidRPr="00F15484" w:rsidRDefault="004C7FB0" w:rsidP="00301BE2">
            <w:pPr>
              <w:autoSpaceDE w:val="0"/>
              <w:autoSpaceDN w:val="0"/>
              <w:adjustRightInd w:val="0"/>
              <w:jc w:val="both"/>
              <w:rPr>
                <w:rFonts w:cs="TimesNewRomanPSMT"/>
                <w:sz w:val="20"/>
                <w:szCs w:val="20"/>
                <w:lang w:val="hr-HR"/>
              </w:rPr>
            </w:pPr>
            <w:r w:rsidRPr="00F15484">
              <w:rPr>
                <w:rFonts w:cs="TimesNewRomanPSMT"/>
                <w:sz w:val="20"/>
                <w:szCs w:val="20"/>
                <w:lang w:val="hr-HR"/>
              </w:rPr>
              <w:t>Konstatirali ste da je svake godine stanovništvo</w:t>
            </w:r>
            <w:r>
              <w:rPr>
                <w:rFonts w:cs="TimesNewRomanPSMT"/>
                <w:sz w:val="20"/>
                <w:szCs w:val="20"/>
                <w:lang w:val="hr-HR"/>
              </w:rPr>
              <w:t xml:space="preserve"> </w:t>
            </w:r>
            <w:r w:rsidRPr="00F15484">
              <w:rPr>
                <w:rFonts w:cs="TimesNewRomanPSMT"/>
                <w:sz w:val="20"/>
                <w:szCs w:val="20"/>
                <w:lang w:val="hr-HR"/>
              </w:rPr>
              <w:t>sve starije, ali ste trebali naglasiti potrebu da se o</w:t>
            </w:r>
            <w:r>
              <w:rPr>
                <w:rFonts w:cs="TimesNewRomanPSMT"/>
                <w:sz w:val="20"/>
                <w:szCs w:val="20"/>
                <w:lang w:val="hr-HR"/>
              </w:rPr>
              <w:t xml:space="preserve"> </w:t>
            </w:r>
            <w:r w:rsidRPr="00F15484">
              <w:rPr>
                <w:rFonts w:cs="TimesNewRomanPSMT"/>
                <w:sz w:val="20"/>
                <w:szCs w:val="20"/>
                <w:lang w:val="hr-HR"/>
              </w:rPr>
              <w:t>tome stanovništvu treba voditi briga. Da je to</w:t>
            </w:r>
            <w:r>
              <w:rPr>
                <w:rFonts w:cs="TimesNewRomanPSMT"/>
                <w:sz w:val="20"/>
                <w:szCs w:val="20"/>
                <w:lang w:val="hr-HR"/>
              </w:rPr>
              <w:t xml:space="preserve"> </w:t>
            </w:r>
            <w:r w:rsidRPr="00F15484">
              <w:rPr>
                <w:rFonts w:cs="TimesNewRomanPSMT"/>
                <w:sz w:val="20"/>
                <w:szCs w:val="20"/>
                <w:lang w:val="hr-HR"/>
              </w:rPr>
              <w:t>generacija koja je pridonijela da dobro živimo i</w:t>
            </w:r>
            <w:r>
              <w:rPr>
                <w:rFonts w:cs="TimesNewRomanPSMT"/>
                <w:sz w:val="20"/>
                <w:szCs w:val="20"/>
                <w:lang w:val="hr-HR"/>
              </w:rPr>
              <w:t xml:space="preserve"> </w:t>
            </w:r>
            <w:r w:rsidRPr="00F15484">
              <w:rPr>
                <w:rFonts w:cs="TimesNewRomanPSMT"/>
                <w:sz w:val="20"/>
                <w:szCs w:val="20"/>
                <w:lang w:val="hr-HR"/>
              </w:rPr>
              <w:t>ako se može bolje. Tom stanovništvu treće dobi treba pažnja, dobre komunikacije, posebno onima koji se teže kreću, treba pomoć u kući, nabavi ogrijeva, topli</w:t>
            </w:r>
            <w:r>
              <w:rPr>
                <w:rFonts w:cs="TimesNewRomanPSMT"/>
                <w:sz w:val="20"/>
                <w:szCs w:val="20"/>
                <w:lang w:val="hr-HR"/>
              </w:rPr>
              <w:t xml:space="preserve"> </w:t>
            </w:r>
            <w:r w:rsidRPr="00F15484">
              <w:rPr>
                <w:rFonts w:cs="TimesNewRomanPSMT"/>
                <w:sz w:val="20"/>
                <w:szCs w:val="20"/>
                <w:lang w:val="hr-HR"/>
              </w:rPr>
              <w:t>obrok, njega i mnogo toga. Zato smatramo da u strategiji razvoja općine treba naglasiti sve što je bitno za naše mještane koji su u trećoj životnoj dobi.</w:t>
            </w:r>
          </w:p>
          <w:p w:rsidR="004C7FB0" w:rsidRPr="00F15484" w:rsidRDefault="004C7FB0" w:rsidP="00301BE2">
            <w:pPr>
              <w:autoSpaceDE w:val="0"/>
              <w:autoSpaceDN w:val="0"/>
              <w:adjustRightInd w:val="0"/>
              <w:jc w:val="both"/>
              <w:rPr>
                <w:rFonts w:cs="TimesNewRomanPSMT"/>
                <w:sz w:val="20"/>
                <w:szCs w:val="20"/>
                <w:lang w:val="hr-HR"/>
              </w:rPr>
            </w:pPr>
            <w:r w:rsidRPr="00F15484">
              <w:rPr>
                <w:rFonts w:cs="TimesNewRomanPSMT"/>
                <w:sz w:val="20"/>
                <w:szCs w:val="20"/>
                <w:lang w:val="hr-HR"/>
              </w:rPr>
              <w:t>Posebno je važno izgraditi dom za starije</w:t>
            </w:r>
            <w:r>
              <w:rPr>
                <w:rFonts w:cs="TimesNewRomanPSMT"/>
                <w:sz w:val="20"/>
                <w:szCs w:val="20"/>
                <w:lang w:val="hr-HR"/>
              </w:rPr>
              <w:t xml:space="preserve"> </w:t>
            </w:r>
            <w:r w:rsidRPr="00F15484">
              <w:rPr>
                <w:rFonts w:cs="TimesNewRomanPSMT"/>
                <w:sz w:val="20"/>
                <w:szCs w:val="20"/>
                <w:lang w:val="hr-HR"/>
              </w:rPr>
              <w:t>i nemoćne kapaciteta 150-200 ležaja, postoji</w:t>
            </w:r>
            <w:r>
              <w:rPr>
                <w:rFonts w:cs="TimesNewRomanPSMT"/>
                <w:sz w:val="20"/>
                <w:szCs w:val="20"/>
                <w:lang w:val="hr-HR"/>
              </w:rPr>
              <w:t xml:space="preserve"> </w:t>
            </w:r>
            <w:r w:rsidRPr="00F15484">
              <w:rPr>
                <w:rFonts w:cs="TimesNewRomanPSMT"/>
                <w:sz w:val="20"/>
                <w:szCs w:val="20"/>
                <w:lang w:val="hr-HR"/>
              </w:rPr>
              <w:t>mogućnost da se isti gradi zajedno sa gradom</w:t>
            </w:r>
            <w:r>
              <w:rPr>
                <w:rFonts w:cs="TimesNewRomanPSMT"/>
                <w:sz w:val="20"/>
                <w:szCs w:val="20"/>
                <w:lang w:val="hr-HR"/>
              </w:rPr>
              <w:t xml:space="preserve"> </w:t>
            </w:r>
            <w:r w:rsidRPr="00F15484">
              <w:rPr>
                <w:rFonts w:cs="TimesNewRomanPSMT"/>
                <w:sz w:val="20"/>
                <w:szCs w:val="20"/>
                <w:lang w:val="hr-HR"/>
              </w:rPr>
              <w:t>Kastvom. Dom bi trebao da se sam održava i</w:t>
            </w:r>
            <w:r>
              <w:rPr>
                <w:rFonts w:cs="TimesNewRomanPSMT"/>
                <w:sz w:val="20"/>
                <w:szCs w:val="20"/>
                <w:lang w:val="hr-HR"/>
              </w:rPr>
              <w:t xml:space="preserve"> </w:t>
            </w:r>
            <w:r w:rsidRPr="00F15484">
              <w:rPr>
                <w:rFonts w:cs="TimesNewRomanPSMT"/>
                <w:sz w:val="20"/>
                <w:szCs w:val="20"/>
                <w:lang w:val="hr-HR"/>
              </w:rPr>
              <w:t>vraća kredit iz kojega bi bio sagrađen, u domu bi</w:t>
            </w:r>
            <w:r>
              <w:rPr>
                <w:rFonts w:cs="TimesNewRomanPSMT"/>
                <w:sz w:val="20"/>
                <w:szCs w:val="20"/>
                <w:lang w:val="hr-HR"/>
              </w:rPr>
              <w:t xml:space="preserve"> </w:t>
            </w:r>
            <w:r w:rsidRPr="00F15484">
              <w:rPr>
                <w:rFonts w:cs="TimesNewRomanPSMT"/>
                <w:sz w:val="20"/>
                <w:szCs w:val="20"/>
                <w:lang w:val="hr-HR"/>
              </w:rPr>
              <w:t>našlo posao 70-80 stanovnika općine Matulji i</w:t>
            </w:r>
            <w:r>
              <w:rPr>
                <w:rFonts w:cs="TimesNewRomanPSMT"/>
                <w:sz w:val="20"/>
                <w:szCs w:val="20"/>
                <w:lang w:val="hr-HR"/>
              </w:rPr>
              <w:t xml:space="preserve"> </w:t>
            </w:r>
            <w:r w:rsidRPr="00F15484">
              <w:rPr>
                <w:rFonts w:cs="TimesNewRomanPSMT"/>
                <w:sz w:val="20"/>
                <w:szCs w:val="20"/>
                <w:lang w:val="hr-HR"/>
              </w:rPr>
              <w:t>grada Kastva. Osim smještaja dom bi pružao</w:t>
            </w:r>
            <w:r>
              <w:rPr>
                <w:rFonts w:cs="TimesNewRomanPSMT"/>
                <w:sz w:val="20"/>
                <w:szCs w:val="20"/>
                <w:lang w:val="hr-HR"/>
              </w:rPr>
              <w:t xml:space="preserve"> </w:t>
            </w:r>
            <w:r w:rsidRPr="00F15484">
              <w:rPr>
                <w:rFonts w:cs="TimesNewRomanPSMT"/>
                <w:sz w:val="20"/>
                <w:szCs w:val="20"/>
                <w:lang w:val="hr-HR"/>
              </w:rPr>
              <w:t>usluge dnevnog boravka, pomoći u stanovima i</w:t>
            </w:r>
            <w:r>
              <w:rPr>
                <w:rFonts w:cs="TimesNewRomanPSMT"/>
                <w:sz w:val="20"/>
                <w:szCs w:val="20"/>
                <w:lang w:val="hr-HR"/>
              </w:rPr>
              <w:t xml:space="preserve"> </w:t>
            </w:r>
            <w:r w:rsidRPr="00F15484">
              <w:rPr>
                <w:rFonts w:cs="TimesNewRomanPSMT"/>
                <w:sz w:val="20"/>
                <w:szCs w:val="20"/>
                <w:lang w:val="hr-HR"/>
              </w:rPr>
              <w:t>kućama osobama koje žive same, dostavu toplog</w:t>
            </w:r>
            <w:r>
              <w:rPr>
                <w:rFonts w:cs="TimesNewRomanPSMT"/>
                <w:sz w:val="20"/>
                <w:szCs w:val="20"/>
                <w:lang w:val="hr-HR"/>
              </w:rPr>
              <w:t xml:space="preserve"> </w:t>
            </w:r>
            <w:r w:rsidRPr="00F15484">
              <w:rPr>
                <w:rFonts w:cs="TimesNewRomanPSMT"/>
                <w:sz w:val="20"/>
                <w:szCs w:val="20"/>
                <w:lang w:val="hr-HR"/>
              </w:rPr>
              <w:t>obroka u kućanstva i bio bi centar gdje bi se odvijale sve aktivnosti vezane uz umirovljeničku</w:t>
            </w:r>
            <w:r>
              <w:rPr>
                <w:rFonts w:cs="TimesNewRomanPSMT"/>
                <w:sz w:val="20"/>
                <w:szCs w:val="20"/>
                <w:lang w:val="hr-HR"/>
              </w:rPr>
              <w:t xml:space="preserve"> </w:t>
            </w:r>
            <w:r w:rsidRPr="00F15484">
              <w:rPr>
                <w:rFonts w:cs="TimesNewRomanPSMT"/>
                <w:sz w:val="20"/>
                <w:szCs w:val="20"/>
                <w:lang w:val="hr-HR"/>
              </w:rPr>
              <w:t>populaciju.</w:t>
            </w:r>
          </w:p>
        </w:tc>
        <w:tc>
          <w:tcPr>
            <w:tcW w:w="4423" w:type="dxa"/>
          </w:tcPr>
          <w:p w:rsidR="004C7FB0" w:rsidRDefault="004C7FB0" w:rsidP="00116674">
            <w:pPr>
              <w:jc w:val="both"/>
              <w:rPr>
                <w:color w:val="FF0000"/>
              </w:rPr>
            </w:pPr>
            <w:r>
              <w:rPr>
                <w:rFonts w:ascii="Calibri" w:eastAsia="Calibri" w:hAnsi="Calibri" w:cs="TimesNewRomanPSMT"/>
                <w:sz w:val="20"/>
                <w:szCs w:val="20"/>
                <w:lang w:val="hr-HR"/>
              </w:rPr>
              <w:t>U sklopu Strateškog cilja 2., Osnaživanje kapaciteta Općine, Prioritet 2.2. Razvoj, unaprjeđenje i održavanje društvene infrastrukture, Mjera 2.2.3. Izgradnja i održavanje društvene infrastrukture kao jedna od aktivnosti planirana je izgradnja i održavanje objekata sa sadržajima za treću životnu dob te projekt izgradnje doma za starije i nemoćne osobe Općine Matulji. P</w:t>
            </w:r>
            <w:r>
              <w:rPr>
                <w:rFonts w:ascii="Calibri" w:eastAsia="Calibri" w:hAnsi="Calibri" w:cs="Times New Roman"/>
                <w:sz w:val="20"/>
                <w:szCs w:val="20"/>
              </w:rPr>
              <w:t xml:space="preserve">rojekt Izgradnje doma za starije i nemoćne osobe Općine Matulji kao jedan od planiranih projekata Općine Matulji naveden je u Tablici 3. Razvojni projekti Općine Matulji u razdoblju od 2016. </w:t>
            </w:r>
            <w:proofErr w:type="gramStart"/>
            <w:r>
              <w:rPr>
                <w:rFonts w:ascii="Calibri" w:eastAsia="Calibri" w:hAnsi="Calibri" w:cs="Times New Roman"/>
                <w:sz w:val="20"/>
                <w:szCs w:val="20"/>
              </w:rPr>
              <w:t>do</w:t>
            </w:r>
            <w:proofErr w:type="gramEnd"/>
            <w:r>
              <w:rPr>
                <w:rFonts w:ascii="Calibri" w:eastAsia="Calibri" w:hAnsi="Calibri" w:cs="Times New Roman"/>
                <w:sz w:val="20"/>
                <w:szCs w:val="20"/>
              </w:rPr>
              <w:t xml:space="preserve"> 2020. </w:t>
            </w:r>
            <w:proofErr w:type="gramStart"/>
            <w:r>
              <w:rPr>
                <w:rFonts w:ascii="Calibri" w:eastAsia="Calibri" w:hAnsi="Calibri" w:cs="Times New Roman"/>
                <w:sz w:val="20"/>
                <w:szCs w:val="20"/>
              </w:rPr>
              <w:t>godine</w:t>
            </w:r>
            <w:proofErr w:type="gramEnd"/>
            <w:r>
              <w:rPr>
                <w:rFonts w:ascii="Calibri" w:eastAsia="Calibri" w:hAnsi="Calibri" w:cs="Times New Roman"/>
                <w:sz w:val="20"/>
                <w:szCs w:val="20"/>
              </w:rPr>
              <w:t xml:space="preserve"> pod rednim brojem 3</w:t>
            </w:r>
            <w:r w:rsidR="00116674">
              <w:rPr>
                <w:rFonts w:ascii="Calibri" w:eastAsia="Calibri" w:hAnsi="Calibri" w:cs="Times New Roman"/>
                <w:sz w:val="20"/>
                <w:szCs w:val="20"/>
              </w:rPr>
              <w:t>2</w:t>
            </w:r>
            <w:r>
              <w:rPr>
                <w:rFonts w:ascii="Calibri" w:eastAsia="Calibri" w:hAnsi="Calibri" w:cs="Times New Roman"/>
                <w:sz w:val="20"/>
                <w:szCs w:val="20"/>
              </w:rPr>
              <w:t>.</w:t>
            </w:r>
            <w:r w:rsidR="00116674">
              <w:rPr>
                <w:rFonts w:ascii="Calibri" w:eastAsia="Calibri" w:hAnsi="Calibri" w:cs="Times New Roman"/>
                <w:sz w:val="20"/>
                <w:szCs w:val="20"/>
              </w:rPr>
              <w:t xml:space="preserve"> </w:t>
            </w:r>
            <w:proofErr w:type="gramStart"/>
            <w:r>
              <w:rPr>
                <w:rFonts w:ascii="Calibri" w:eastAsia="Calibri" w:hAnsi="Calibri" w:cs="Times New Roman"/>
                <w:sz w:val="20"/>
                <w:szCs w:val="20"/>
              </w:rPr>
              <w:t>kao</w:t>
            </w:r>
            <w:proofErr w:type="gramEnd"/>
            <w:r>
              <w:rPr>
                <w:rFonts w:ascii="Calibri" w:eastAsia="Calibri" w:hAnsi="Calibri" w:cs="Times New Roman"/>
                <w:sz w:val="20"/>
                <w:szCs w:val="20"/>
              </w:rPr>
              <w:t xml:space="preserve"> projektna ideja. U sklopu Strateškog cilja 3. Unaprjeđenje životnog standard stanovnika u svim prioritetima i mjerama koje on obuhvaća, kao jedna od ciljanih skupina i korisnika planiranih programa i projekata (kulturnih, zabavnih, sportsko-rekreativnih, zdravstvenih, socijalnih, obrazovni i dr.), su upravo stanovnici treće životne dobi.</w:t>
            </w:r>
          </w:p>
        </w:tc>
      </w:tr>
      <w:tr w:rsidR="004C7FB0" w:rsidTr="004C7FB0">
        <w:tc>
          <w:tcPr>
            <w:tcW w:w="709" w:type="dxa"/>
          </w:tcPr>
          <w:p w:rsidR="004C7FB0" w:rsidRPr="0093138A" w:rsidRDefault="004C7FB0" w:rsidP="00301BE2">
            <w:pPr>
              <w:jc w:val="both"/>
              <w:rPr>
                <w:rFonts w:ascii="Calibri" w:hAnsi="Calibri"/>
                <w:sz w:val="20"/>
                <w:szCs w:val="20"/>
              </w:rPr>
            </w:pPr>
            <w:r>
              <w:rPr>
                <w:rFonts w:ascii="Calibri" w:hAnsi="Calibri"/>
                <w:sz w:val="20"/>
                <w:szCs w:val="20"/>
              </w:rPr>
              <w:t>5.</w:t>
            </w:r>
          </w:p>
        </w:tc>
        <w:tc>
          <w:tcPr>
            <w:tcW w:w="2268" w:type="dxa"/>
          </w:tcPr>
          <w:p w:rsidR="004C7FB0" w:rsidRDefault="004C7FB0" w:rsidP="00301BE2">
            <w:pPr>
              <w:rPr>
                <w:sz w:val="20"/>
                <w:szCs w:val="20"/>
              </w:rPr>
            </w:pPr>
            <w:r>
              <w:rPr>
                <w:sz w:val="20"/>
                <w:szCs w:val="20"/>
              </w:rPr>
              <w:t>Grupa građana naselja Frlanija</w:t>
            </w:r>
          </w:p>
        </w:tc>
        <w:tc>
          <w:tcPr>
            <w:tcW w:w="2126" w:type="dxa"/>
          </w:tcPr>
          <w:p w:rsidR="004C7FB0" w:rsidRDefault="004C7FB0" w:rsidP="00301BE2">
            <w:pPr>
              <w:rPr>
                <w:sz w:val="20"/>
                <w:szCs w:val="20"/>
              </w:rPr>
            </w:pPr>
            <w:r>
              <w:rPr>
                <w:sz w:val="20"/>
                <w:szCs w:val="20"/>
              </w:rPr>
              <w:t>Naselja</w:t>
            </w:r>
          </w:p>
        </w:tc>
        <w:tc>
          <w:tcPr>
            <w:tcW w:w="5670" w:type="dxa"/>
          </w:tcPr>
          <w:p w:rsidR="004C7FB0" w:rsidRDefault="004C7FB0" w:rsidP="00301BE2">
            <w:pPr>
              <w:spacing w:line="276" w:lineRule="auto"/>
              <w:jc w:val="both"/>
              <w:rPr>
                <w:rFonts w:ascii="Calibri" w:eastAsia="Calibri" w:hAnsi="Calibri" w:cs="Arial"/>
                <w:sz w:val="20"/>
                <w:szCs w:val="20"/>
              </w:rPr>
            </w:pPr>
            <w:proofErr w:type="gramStart"/>
            <w:r>
              <w:rPr>
                <w:rFonts w:ascii="Calibri" w:eastAsia="Calibri" w:hAnsi="Calibri" w:cs="Arial"/>
                <w:sz w:val="20"/>
                <w:szCs w:val="20"/>
              </w:rPr>
              <w:t>Molimo  da</w:t>
            </w:r>
            <w:proofErr w:type="gramEnd"/>
            <w:r>
              <w:rPr>
                <w:rFonts w:ascii="Calibri" w:eastAsia="Calibri" w:hAnsi="Calibri" w:cs="Arial"/>
                <w:sz w:val="20"/>
                <w:szCs w:val="20"/>
              </w:rPr>
              <w:t xml:space="preserve"> se u</w:t>
            </w:r>
            <w:r w:rsidRPr="000750A9">
              <w:rPr>
                <w:rFonts w:ascii="Calibri" w:eastAsia="Calibri" w:hAnsi="Calibri" w:cs="Arial"/>
                <w:sz w:val="20"/>
                <w:szCs w:val="20"/>
              </w:rPr>
              <w:t xml:space="preserve"> članku teksta o naseljima na str. 15, </w:t>
            </w:r>
            <w:r>
              <w:rPr>
                <w:rFonts w:ascii="Calibri" w:eastAsia="Calibri" w:hAnsi="Calibri" w:cs="Arial"/>
                <w:sz w:val="20"/>
                <w:szCs w:val="20"/>
              </w:rPr>
              <w:t>uvrsti i naselje Frlanija,</w:t>
            </w:r>
            <w:r w:rsidRPr="000750A9">
              <w:rPr>
                <w:rFonts w:ascii="Calibri" w:eastAsia="Calibri" w:hAnsi="Calibri" w:cs="Arial"/>
                <w:sz w:val="20"/>
                <w:szCs w:val="20"/>
              </w:rPr>
              <w:t xml:space="preserve"> kao 23 naselje</w:t>
            </w:r>
            <w:r>
              <w:rPr>
                <w:rFonts w:ascii="Calibri" w:eastAsia="Calibri" w:hAnsi="Calibri" w:cs="Arial"/>
                <w:sz w:val="20"/>
                <w:szCs w:val="20"/>
              </w:rPr>
              <w:t xml:space="preserve">. Obrazloženje ovom zahtjevu je da na području naselja Frlanija, kroz razvoj iz sela u zadnjih 100 godina iszo je poprimilo izgled naselja. </w:t>
            </w:r>
          </w:p>
          <w:p w:rsidR="004C7FB0" w:rsidRPr="00F156FC" w:rsidRDefault="004C7FB0" w:rsidP="00301BE2">
            <w:pPr>
              <w:autoSpaceDE w:val="0"/>
              <w:autoSpaceDN w:val="0"/>
              <w:adjustRightInd w:val="0"/>
              <w:jc w:val="both"/>
              <w:rPr>
                <w:rFonts w:ascii="Calibri" w:eastAsia="Calibri" w:hAnsi="Calibri" w:cs="TimesNewRomanPSMT"/>
                <w:sz w:val="20"/>
                <w:szCs w:val="20"/>
                <w:lang w:val="hr-HR"/>
              </w:rPr>
            </w:pPr>
            <w:r>
              <w:rPr>
                <w:rFonts w:ascii="Calibri" w:eastAsia="Calibri" w:hAnsi="Calibri" w:cs="Arial"/>
                <w:sz w:val="20"/>
                <w:szCs w:val="20"/>
              </w:rPr>
              <w:t xml:space="preserve">Od nekadašnjeg pograničnog sela u kojem su se ljudi većinom bavili poljoprivredom i stočarstvom, nakon drugog svjetskog rata i </w:t>
            </w:r>
            <w:r>
              <w:rPr>
                <w:rFonts w:ascii="Calibri" w:eastAsia="Calibri" w:hAnsi="Calibri" w:cs="Arial"/>
                <w:sz w:val="20"/>
                <w:szCs w:val="20"/>
              </w:rPr>
              <w:lastRenderedPageBreak/>
              <w:t xml:space="preserve">obnove, izgradnje infrastructure, ljudi ovog kraja počeli su se baviti i obrtom i zanatstvom (obitelj Milih, Armanini, Dubrović), stočarstvom i poljoprivredom (obitelji Frlan i Matulja), iznajmljivanjem soba turistima (obitelj Frlan već od 60-ih). Nakon novih gradnja i obnove nekadašnjih objekata na Živici, unutar naselja postoje kafići, frizerski saloni, građevinske firme Opatija gradnja i Gradel, auto prijevoznik Mrnjavac, mali obrt Kukurin, Taksi prijevoznik Matulja, Hrvatske šume d.d. Buzet, projektantska firma Tiora, automehaničarski servis, tregovina elektotehničkoh robom, trgovina i servis Dubrović interijeri, kamenoklesarski obrt Blažan, tradicija njegovanja kulturne baštine zvončara Frlanija – pakal, neki iznajmljivači soba i dr. Da li ostala naselja uvrštena u popis imaju barem ovako stanje poduzetništva? Na osnovu naprijed navedenog mislimo da postoje uvjeti za uvrštenje naselja Frlanija u popis naselja. U prilogu potpisi 41. </w:t>
            </w:r>
            <w:proofErr w:type="gramStart"/>
            <w:r>
              <w:rPr>
                <w:rFonts w:ascii="Calibri" w:eastAsia="Calibri" w:hAnsi="Calibri" w:cs="Arial"/>
                <w:sz w:val="20"/>
                <w:szCs w:val="20"/>
              </w:rPr>
              <w:t>građana</w:t>
            </w:r>
            <w:proofErr w:type="gramEnd"/>
            <w:r>
              <w:rPr>
                <w:rFonts w:ascii="Calibri" w:eastAsia="Calibri" w:hAnsi="Calibri" w:cs="Arial"/>
                <w:sz w:val="20"/>
                <w:szCs w:val="20"/>
              </w:rPr>
              <w:t xml:space="preserve"> Frlanije.  </w:t>
            </w:r>
            <w:r w:rsidRPr="000750A9">
              <w:rPr>
                <w:rFonts w:ascii="Calibri" w:eastAsia="Calibri" w:hAnsi="Calibri" w:cs="Arial"/>
                <w:sz w:val="20"/>
                <w:szCs w:val="20"/>
              </w:rPr>
              <w:t xml:space="preserve"> </w:t>
            </w:r>
          </w:p>
        </w:tc>
        <w:tc>
          <w:tcPr>
            <w:tcW w:w="4423" w:type="dxa"/>
          </w:tcPr>
          <w:p w:rsidR="004C7FB0" w:rsidRDefault="004C7FB0" w:rsidP="00301BE2">
            <w:pPr>
              <w:jc w:val="both"/>
              <w:rPr>
                <w:color w:val="FF0000"/>
              </w:rPr>
            </w:pPr>
            <w:r w:rsidRPr="00526F37">
              <w:rPr>
                <w:rFonts w:ascii="Calibri" w:eastAsia="Calibri" w:hAnsi="Calibri" w:cs="Arial"/>
                <w:sz w:val="20"/>
                <w:szCs w:val="20"/>
              </w:rPr>
              <w:lastRenderedPageBreak/>
              <w:t>Način i postupak utvrđivanja granica područja naselja, spajanja i razdvajanja naselja, određivanja imena naselja, ulica i trgova određen je Zakonom o naseljima („Narodne novine</w:t>
            </w:r>
            <w:proofErr w:type="gramStart"/>
            <w:r w:rsidRPr="00526F37">
              <w:rPr>
                <w:rFonts w:ascii="Calibri" w:eastAsia="Calibri" w:hAnsi="Calibri" w:cs="Arial"/>
                <w:sz w:val="20"/>
                <w:szCs w:val="20"/>
              </w:rPr>
              <w:t>“ broj</w:t>
            </w:r>
            <w:proofErr w:type="gramEnd"/>
            <w:r w:rsidRPr="00526F37">
              <w:rPr>
                <w:rFonts w:ascii="Calibri" w:eastAsia="Calibri" w:hAnsi="Calibri" w:cs="Arial"/>
                <w:sz w:val="20"/>
                <w:szCs w:val="20"/>
              </w:rPr>
              <w:t xml:space="preserve"> 54/88) te nije predmet ovog Strateškog razvojnog programa. Zakonom o područjima županija, gradova i općina u Republici Hrvatskoj („Narodne novine“ broj 86/06, </w:t>
            </w:r>
            <w:r w:rsidRPr="00526F37">
              <w:rPr>
                <w:rFonts w:ascii="Calibri" w:eastAsia="Calibri" w:hAnsi="Calibri" w:cs="Arial"/>
                <w:sz w:val="20"/>
                <w:szCs w:val="20"/>
              </w:rPr>
              <w:lastRenderedPageBreak/>
              <w:t>125/06, 16/07, 95/08, 46/10, 145/10, 37/13, 44/13, 45/13, 110/15) utvrđeno je područje Općine Matulji te su u citiranom propisu navedena 23 naselja koja ulaze u sastav  Općine Matulji.</w:t>
            </w:r>
          </w:p>
        </w:tc>
      </w:tr>
      <w:tr w:rsidR="004C7FB0" w:rsidTr="004C7FB0">
        <w:tc>
          <w:tcPr>
            <w:tcW w:w="709" w:type="dxa"/>
          </w:tcPr>
          <w:p w:rsidR="004C7FB0" w:rsidRPr="0093138A" w:rsidRDefault="004C7FB0" w:rsidP="00301BE2">
            <w:pPr>
              <w:jc w:val="both"/>
              <w:rPr>
                <w:rFonts w:ascii="Calibri" w:hAnsi="Calibri"/>
                <w:sz w:val="20"/>
                <w:szCs w:val="20"/>
              </w:rPr>
            </w:pPr>
            <w:r>
              <w:rPr>
                <w:rFonts w:ascii="Calibri" w:hAnsi="Calibri"/>
                <w:sz w:val="20"/>
                <w:szCs w:val="20"/>
              </w:rPr>
              <w:lastRenderedPageBreak/>
              <w:t>6</w:t>
            </w:r>
            <w:r w:rsidRPr="0093138A">
              <w:rPr>
                <w:rFonts w:ascii="Calibri" w:hAnsi="Calibri"/>
                <w:sz w:val="20"/>
                <w:szCs w:val="20"/>
              </w:rPr>
              <w:t xml:space="preserve">. </w:t>
            </w:r>
          </w:p>
        </w:tc>
        <w:tc>
          <w:tcPr>
            <w:tcW w:w="2268" w:type="dxa"/>
          </w:tcPr>
          <w:p w:rsidR="004C7FB0" w:rsidRPr="00F156FC" w:rsidRDefault="004C7FB0" w:rsidP="00301BE2">
            <w:pPr>
              <w:rPr>
                <w:sz w:val="20"/>
                <w:szCs w:val="20"/>
              </w:rPr>
            </w:pPr>
            <w:r>
              <w:rPr>
                <w:sz w:val="20"/>
                <w:szCs w:val="20"/>
              </w:rPr>
              <w:t>A</w:t>
            </w:r>
            <w:r w:rsidRPr="000750A9">
              <w:rPr>
                <w:sz w:val="20"/>
                <w:szCs w:val="20"/>
              </w:rPr>
              <w:t>nonimni sudionik javne rasprave</w:t>
            </w:r>
          </w:p>
        </w:tc>
        <w:tc>
          <w:tcPr>
            <w:tcW w:w="2126" w:type="dxa"/>
          </w:tcPr>
          <w:p w:rsidR="004C7FB0" w:rsidRPr="004E3E75" w:rsidRDefault="004C7FB0" w:rsidP="00301BE2">
            <w:pPr>
              <w:rPr>
                <w:sz w:val="20"/>
                <w:szCs w:val="20"/>
              </w:rPr>
            </w:pPr>
            <w:r>
              <w:rPr>
                <w:sz w:val="20"/>
                <w:szCs w:val="20"/>
              </w:rPr>
              <w:t>Prostorni plan uređenja</w:t>
            </w:r>
          </w:p>
        </w:tc>
        <w:tc>
          <w:tcPr>
            <w:tcW w:w="5670" w:type="dxa"/>
          </w:tcPr>
          <w:p w:rsidR="004C7FB0" w:rsidRPr="00F15484" w:rsidRDefault="004C7FB0" w:rsidP="00301BE2">
            <w:pPr>
              <w:autoSpaceDE w:val="0"/>
              <w:autoSpaceDN w:val="0"/>
              <w:adjustRightInd w:val="0"/>
              <w:jc w:val="both"/>
              <w:rPr>
                <w:rFonts w:cs="TimesNewRomanPSMT"/>
                <w:sz w:val="20"/>
                <w:szCs w:val="20"/>
                <w:lang w:val="hr-HR"/>
              </w:rPr>
            </w:pPr>
            <w:r w:rsidRPr="00F156FC">
              <w:rPr>
                <w:rFonts w:ascii="Calibri" w:eastAsia="Calibri" w:hAnsi="Calibri" w:cs="TimesNewRomanPSMT"/>
                <w:sz w:val="20"/>
                <w:szCs w:val="20"/>
                <w:lang w:val="hr-HR"/>
              </w:rPr>
              <w:t>Predlažem da se omogući bolja gustoća stanovanja u središtu Matulja – izjednačavanjem uvjeta gradnje za sve gradjevine tj. koeficijenta izgradivosti/iskoristivosti</w:t>
            </w:r>
          </w:p>
        </w:tc>
        <w:tc>
          <w:tcPr>
            <w:tcW w:w="4423" w:type="dxa"/>
          </w:tcPr>
          <w:p w:rsidR="004C7FB0" w:rsidRPr="00301BE2" w:rsidRDefault="004C7FB0" w:rsidP="00301BE2">
            <w:pPr>
              <w:rPr>
                <w:color w:val="FF0000"/>
                <w:sz w:val="20"/>
                <w:szCs w:val="20"/>
              </w:rPr>
            </w:pPr>
            <w:r w:rsidRPr="00635943">
              <w:rPr>
                <w:rFonts w:ascii="Calibri" w:eastAsia="Calibri" w:hAnsi="Calibri" w:cs="TimesNewRomanPSMT"/>
                <w:sz w:val="20"/>
                <w:szCs w:val="20"/>
                <w:lang w:val="hr-HR"/>
              </w:rPr>
              <w:t>Utvrđivanje koeficijenata izgradivosti/iskoristivosti za građevine</w:t>
            </w:r>
            <w:r>
              <w:rPr>
                <w:rFonts w:ascii="Calibri" w:eastAsia="Calibri" w:hAnsi="Calibri" w:cs="TimesNewRomanPSMT"/>
                <w:sz w:val="20"/>
                <w:szCs w:val="20"/>
                <w:lang w:val="hr-HR"/>
              </w:rPr>
              <w:t>,</w:t>
            </w:r>
            <w:r w:rsidRPr="00635943">
              <w:rPr>
                <w:rFonts w:ascii="Calibri" w:eastAsia="Calibri" w:hAnsi="Calibri" w:cs="TimesNewRomanPSMT"/>
                <w:sz w:val="20"/>
                <w:szCs w:val="20"/>
                <w:lang w:val="hr-HR"/>
              </w:rPr>
              <w:t xml:space="preserve"> a time i preduvjeta za iskoristivost prostora i posljedično gustoću stanovanja predmet je prostonoplanske dokumentacije odnosno Prostornog plana uređenja Općine, kao i planova niže razine.</w:t>
            </w:r>
            <w:r>
              <w:rPr>
                <w:rFonts w:ascii="Calibri" w:eastAsia="Calibri" w:hAnsi="Calibri" w:cs="TimesNewRomanPSMT"/>
                <w:sz w:val="20"/>
                <w:szCs w:val="20"/>
                <w:lang w:val="hr-HR"/>
              </w:rPr>
              <w:t xml:space="preserve"> Pametan i održiv razvoj urbanih i ruralnih područja sadržan je u Strateškom cilju 2. Osnaživanje kapaciteta Općine, Prioritet 2.2. Razvoj, unaprjeđenje i održavanje društvene infrastrukture, Mjera 2.2.1. Održiv razvoj urbanih i ruralnih područja u sklopu kojeg je kao jedna od aktivnosti predviđena revizija prostornog plana.</w:t>
            </w:r>
          </w:p>
        </w:tc>
      </w:tr>
      <w:tr w:rsidR="004C7FB0" w:rsidTr="004C7FB0">
        <w:tc>
          <w:tcPr>
            <w:tcW w:w="709" w:type="dxa"/>
          </w:tcPr>
          <w:p w:rsidR="004C7FB0" w:rsidRPr="0093138A" w:rsidRDefault="004C7FB0" w:rsidP="00301BE2">
            <w:pPr>
              <w:jc w:val="both"/>
              <w:rPr>
                <w:rFonts w:ascii="Calibri" w:hAnsi="Calibri"/>
                <w:sz w:val="20"/>
                <w:szCs w:val="20"/>
              </w:rPr>
            </w:pPr>
            <w:r>
              <w:rPr>
                <w:rFonts w:ascii="Calibri" w:hAnsi="Calibri"/>
                <w:sz w:val="20"/>
                <w:szCs w:val="20"/>
              </w:rPr>
              <w:t>7</w:t>
            </w:r>
            <w:r w:rsidRPr="0093138A">
              <w:rPr>
                <w:rFonts w:ascii="Calibri" w:hAnsi="Calibri"/>
                <w:sz w:val="20"/>
                <w:szCs w:val="20"/>
              </w:rPr>
              <w:t>.</w:t>
            </w:r>
          </w:p>
        </w:tc>
        <w:tc>
          <w:tcPr>
            <w:tcW w:w="2268" w:type="dxa"/>
          </w:tcPr>
          <w:p w:rsidR="004C7FB0" w:rsidRDefault="004C7FB0" w:rsidP="00301BE2">
            <w:pPr>
              <w:rPr>
                <w:sz w:val="20"/>
                <w:szCs w:val="20"/>
              </w:rPr>
            </w:pPr>
            <w:r w:rsidRPr="005F3AF2">
              <w:rPr>
                <w:sz w:val="20"/>
                <w:szCs w:val="20"/>
              </w:rPr>
              <w:t>Bina-Istra d.d.</w:t>
            </w:r>
          </w:p>
          <w:p w:rsidR="004C7FB0" w:rsidRDefault="004C7FB0" w:rsidP="00301BE2">
            <w:pPr>
              <w:rPr>
                <w:sz w:val="20"/>
                <w:szCs w:val="20"/>
              </w:rPr>
            </w:pPr>
            <w:r w:rsidRPr="005F3AF2">
              <w:rPr>
                <w:sz w:val="20"/>
                <w:szCs w:val="20"/>
              </w:rPr>
              <w:t>Zrinšćak 57</w:t>
            </w:r>
          </w:p>
          <w:p w:rsidR="004C7FB0" w:rsidRPr="005F3AF2" w:rsidRDefault="004C7FB0" w:rsidP="00301BE2">
            <w:pPr>
              <w:rPr>
                <w:sz w:val="20"/>
                <w:szCs w:val="20"/>
              </w:rPr>
            </w:pPr>
            <w:r w:rsidRPr="005F3AF2">
              <w:rPr>
                <w:sz w:val="20"/>
                <w:szCs w:val="20"/>
              </w:rPr>
              <w:t>52426 Lupoglav</w:t>
            </w:r>
          </w:p>
        </w:tc>
        <w:tc>
          <w:tcPr>
            <w:tcW w:w="2126" w:type="dxa"/>
          </w:tcPr>
          <w:p w:rsidR="004C7FB0" w:rsidRPr="004E3E75" w:rsidRDefault="004C7FB0" w:rsidP="00301BE2">
            <w:pPr>
              <w:rPr>
                <w:sz w:val="20"/>
                <w:szCs w:val="20"/>
              </w:rPr>
            </w:pPr>
            <w:r>
              <w:rPr>
                <w:sz w:val="20"/>
                <w:szCs w:val="20"/>
              </w:rPr>
              <w:t>Prometna infrastruktura</w:t>
            </w:r>
          </w:p>
        </w:tc>
        <w:tc>
          <w:tcPr>
            <w:tcW w:w="5670" w:type="dxa"/>
          </w:tcPr>
          <w:p w:rsidR="004C7FB0" w:rsidRPr="0093138A" w:rsidRDefault="004C7FB0" w:rsidP="00301BE2">
            <w:pPr>
              <w:spacing w:after="40"/>
              <w:rPr>
                <w:rFonts w:ascii="Calibri" w:eastAsia="Calibri" w:hAnsi="Calibri" w:cs="TimesNewRomanPSMT"/>
                <w:sz w:val="20"/>
                <w:szCs w:val="20"/>
                <w:lang w:val="hr-HR"/>
              </w:rPr>
            </w:pPr>
            <w:r w:rsidRPr="0093138A">
              <w:rPr>
                <w:rFonts w:ascii="Calibri" w:eastAsia="Calibri" w:hAnsi="Calibri" w:cs="TimesNewRomanPSMT"/>
                <w:sz w:val="20"/>
                <w:szCs w:val="20"/>
                <w:lang w:val="hr-HR"/>
              </w:rPr>
              <w:t xml:space="preserve">U Analizi stanja (dokument 1): </w:t>
            </w:r>
            <w:r w:rsidRPr="0093138A">
              <w:rPr>
                <w:rFonts w:ascii="Calibri" w:eastAsia="Calibri" w:hAnsi="Calibri" w:cs="TimesNewRomanPSMT"/>
                <w:sz w:val="20"/>
                <w:szCs w:val="20"/>
                <w:lang w:val="hr-HR"/>
              </w:rPr>
              <w:br/>
              <w:t>- u odjeljku 3.6.1. Cestovni promet (str. 50.): nakon A7, dodati A8 (Rijeka – Pula) ukupne dužine na području Općine Matulji od 10,7 km;</w:t>
            </w:r>
          </w:p>
        </w:tc>
        <w:tc>
          <w:tcPr>
            <w:tcW w:w="4423" w:type="dxa"/>
          </w:tcPr>
          <w:p w:rsidR="004C7FB0" w:rsidRPr="00AE2A40" w:rsidRDefault="004C7FB0" w:rsidP="00301BE2">
            <w:pPr>
              <w:rPr>
                <w:sz w:val="20"/>
                <w:szCs w:val="20"/>
              </w:rPr>
            </w:pPr>
            <w:r w:rsidRPr="00AE2A40">
              <w:rPr>
                <w:sz w:val="20"/>
                <w:szCs w:val="20"/>
              </w:rPr>
              <w:t xml:space="preserve">Prihvaća se </w:t>
            </w:r>
          </w:p>
        </w:tc>
      </w:tr>
      <w:tr w:rsidR="004C7FB0" w:rsidTr="004C7FB0">
        <w:tc>
          <w:tcPr>
            <w:tcW w:w="709" w:type="dxa"/>
          </w:tcPr>
          <w:p w:rsidR="004C7FB0" w:rsidRDefault="004C7FB0" w:rsidP="00301BE2">
            <w:pPr>
              <w:jc w:val="both"/>
              <w:rPr>
                <w:rFonts w:ascii="Calibri" w:hAnsi="Calibri"/>
              </w:rPr>
            </w:pPr>
          </w:p>
        </w:tc>
        <w:tc>
          <w:tcPr>
            <w:tcW w:w="2268" w:type="dxa"/>
          </w:tcPr>
          <w:p w:rsidR="004C7FB0" w:rsidRPr="00A55389" w:rsidRDefault="004C7FB0" w:rsidP="00301BE2">
            <w:pPr>
              <w:rPr>
                <w:rFonts w:ascii="Calibri" w:hAnsi="Calibri"/>
              </w:rPr>
            </w:pPr>
          </w:p>
        </w:tc>
        <w:tc>
          <w:tcPr>
            <w:tcW w:w="2126" w:type="dxa"/>
          </w:tcPr>
          <w:p w:rsidR="004C7FB0" w:rsidRPr="004E3E75" w:rsidRDefault="004C7FB0" w:rsidP="00301BE2">
            <w:pPr>
              <w:rPr>
                <w:sz w:val="20"/>
                <w:szCs w:val="20"/>
              </w:rPr>
            </w:pPr>
            <w:r>
              <w:rPr>
                <w:sz w:val="20"/>
                <w:szCs w:val="20"/>
              </w:rPr>
              <w:t>Prometna infrastruktura</w:t>
            </w:r>
          </w:p>
        </w:tc>
        <w:tc>
          <w:tcPr>
            <w:tcW w:w="5670" w:type="dxa"/>
          </w:tcPr>
          <w:p w:rsidR="004C7FB0" w:rsidRPr="0093138A" w:rsidRDefault="004C7FB0" w:rsidP="00301BE2">
            <w:pPr>
              <w:rPr>
                <w:rFonts w:ascii="Calibri" w:eastAsia="Calibri" w:hAnsi="Calibri" w:cs="TimesNewRomanPSMT"/>
                <w:sz w:val="20"/>
                <w:szCs w:val="20"/>
                <w:lang w:val="hr-HR"/>
              </w:rPr>
            </w:pPr>
            <w:r w:rsidRPr="0093138A">
              <w:rPr>
                <w:rFonts w:ascii="Calibri" w:eastAsia="Calibri" w:hAnsi="Calibri" w:cs="TimesNewRomanPSMT"/>
                <w:sz w:val="20"/>
                <w:szCs w:val="20"/>
                <w:lang w:val="hr-HR"/>
              </w:rPr>
              <w:t>U Prijedlogu strateškog razvojnog programa (dokument 2), u odjeljku Promet, tablica Prepoznati problemi u prometnoj infrastrukturi dodati:</w:t>
            </w:r>
          </w:p>
          <w:p w:rsidR="004C7FB0" w:rsidRPr="0093138A" w:rsidRDefault="004C7FB0" w:rsidP="00301BE2">
            <w:pPr>
              <w:numPr>
                <w:ilvl w:val="0"/>
                <w:numId w:val="2"/>
              </w:numPr>
              <w:spacing w:after="40"/>
              <w:ind w:left="714" w:hanging="357"/>
              <w:rPr>
                <w:rFonts w:ascii="Calibri" w:eastAsia="Calibri" w:hAnsi="Calibri" w:cs="TimesNewRomanPSMT"/>
                <w:sz w:val="20"/>
                <w:szCs w:val="20"/>
                <w:lang w:val="hr-HR"/>
              </w:rPr>
            </w:pPr>
            <w:r w:rsidRPr="0093138A">
              <w:rPr>
                <w:rFonts w:ascii="Calibri" w:eastAsia="Calibri" w:hAnsi="Calibri" w:cs="TimesNewRomanPSMT"/>
                <w:sz w:val="20"/>
                <w:szCs w:val="20"/>
                <w:lang w:val="hr-HR"/>
              </w:rPr>
              <w:t>nedovoljna povezanost nekih naselja s postojećom prometnom infrastrukturom i središtem Općine (konkretno: neadekvatna povezanost naselja Benčinići)</w:t>
            </w:r>
          </w:p>
          <w:p w:rsidR="004C7FB0" w:rsidRPr="0093138A" w:rsidRDefault="004C7FB0" w:rsidP="00301BE2">
            <w:pPr>
              <w:rPr>
                <w:rFonts w:ascii="Calibri" w:eastAsia="Calibri" w:hAnsi="Calibri" w:cs="TimesNewRomanPSMT"/>
                <w:sz w:val="20"/>
                <w:szCs w:val="20"/>
                <w:lang w:val="hr-HR"/>
              </w:rPr>
            </w:pPr>
            <w:r w:rsidRPr="0093138A">
              <w:rPr>
                <w:rFonts w:ascii="Calibri" w:eastAsia="Calibri" w:hAnsi="Calibri" w:cs="TimesNewRomanPSMT"/>
                <w:sz w:val="20"/>
                <w:szCs w:val="20"/>
                <w:lang w:val="hr-HR"/>
              </w:rPr>
              <w:lastRenderedPageBreak/>
              <w:t>Tablica Preporuke za razvoj dodati:</w:t>
            </w:r>
          </w:p>
          <w:p w:rsidR="004C7FB0" w:rsidRPr="0093138A" w:rsidRDefault="004C7FB0" w:rsidP="00301BE2">
            <w:pPr>
              <w:numPr>
                <w:ilvl w:val="0"/>
                <w:numId w:val="2"/>
              </w:numPr>
              <w:spacing w:after="40"/>
              <w:ind w:left="714" w:hanging="357"/>
              <w:rPr>
                <w:rFonts w:ascii="Calibri" w:eastAsia="Calibri" w:hAnsi="Calibri" w:cs="TimesNewRomanPSMT"/>
                <w:sz w:val="20"/>
                <w:szCs w:val="20"/>
                <w:lang w:val="hr-HR"/>
              </w:rPr>
            </w:pPr>
            <w:r w:rsidRPr="0093138A">
              <w:rPr>
                <w:rFonts w:ascii="Calibri" w:eastAsia="Calibri" w:hAnsi="Calibri" w:cs="TimesNewRomanPSMT"/>
                <w:sz w:val="20"/>
                <w:szCs w:val="20"/>
                <w:lang w:val="hr-HR"/>
              </w:rPr>
              <w:t>sigurno povezivanje svih naselja s postojećom prometnom infrastrukturom i središtem Općine</w:t>
            </w:r>
          </w:p>
          <w:p w:rsidR="004C7FB0" w:rsidRPr="0093138A" w:rsidRDefault="004C7FB0" w:rsidP="00301BE2">
            <w:pPr>
              <w:rPr>
                <w:rFonts w:ascii="Calibri" w:eastAsia="Calibri" w:hAnsi="Calibri" w:cs="TimesNewRomanPSMT"/>
                <w:sz w:val="20"/>
                <w:szCs w:val="20"/>
                <w:lang w:val="hr-HR"/>
              </w:rPr>
            </w:pPr>
            <w:r w:rsidRPr="0093138A">
              <w:rPr>
                <w:rFonts w:ascii="Calibri" w:eastAsia="Calibri" w:hAnsi="Calibri" w:cs="TimesNewRomanPSMT"/>
                <w:sz w:val="20"/>
                <w:szCs w:val="20"/>
                <w:lang w:val="hr-HR"/>
              </w:rPr>
              <w:t xml:space="preserve">Ukoliko smatrate potrebnim, ove bi primjedbe mogle naći mjesta i u tablici SWOT analize. </w:t>
            </w:r>
            <w:r w:rsidRPr="0093138A">
              <w:rPr>
                <w:rFonts w:ascii="Calibri" w:eastAsia="Calibri" w:hAnsi="Calibri" w:cs="TimesNewRomanPSMT"/>
                <w:sz w:val="20"/>
                <w:szCs w:val="20"/>
                <w:lang w:val="hr-HR"/>
              </w:rPr>
              <w:br/>
              <w:t>U kasnijim poglavljima se spominje mjera Izgradnja i održavanje nerazvrstanih cesta te, pretpostavljamo, navedeni problem može biti riješen ovom mjerom.</w:t>
            </w:r>
          </w:p>
        </w:tc>
        <w:tc>
          <w:tcPr>
            <w:tcW w:w="4423" w:type="dxa"/>
          </w:tcPr>
          <w:p w:rsidR="004C7FB0" w:rsidRPr="00AE2A40" w:rsidRDefault="004C7FB0" w:rsidP="00301BE2">
            <w:pPr>
              <w:rPr>
                <w:sz w:val="20"/>
                <w:szCs w:val="20"/>
              </w:rPr>
            </w:pPr>
            <w:r w:rsidRPr="00AE2A40">
              <w:rPr>
                <w:sz w:val="20"/>
                <w:szCs w:val="20"/>
              </w:rPr>
              <w:lastRenderedPageBreak/>
              <w:t xml:space="preserve">Prihvaća se </w:t>
            </w:r>
          </w:p>
        </w:tc>
      </w:tr>
      <w:tr w:rsidR="004C7FB0" w:rsidTr="004C7FB0">
        <w:tc>
          <w:tcPr>
            <w:tcW w:w="709" w:type="dxa"/>
          </w:tcPr>
          <w:p w:rsidR="004C7FB0" w:rsidRDefault="004C7FB0" w:rsidP="00301BE2">
            <w:pPr>
              <w:jc w:val="both"/>
              <w:rPr>
                <w:rFonts w:ascii="Calibri" w:hAnsi="Calibri"/>
              </w:rPr>
            </w:pPr>
          </w:p>
        </w:tc>
        <w:tc>
          <w:tcPr>
            <w:tcW w:w="2268" w:type="dxa"/>
          </w:tcPr>
          <w:p w:rsidR="004C7FB0" w:rsidRPr="00A55389" w:rsidRDefault="004C7FB0" w:rsidP="00301BE2">
            <w:pPr>
              <w:rPr>
                <w:rFonts w:ascii="Calibri" w:hAnsi="Calibri"/>
              </w:rPr>
            </w:pPr>
          </w:p>
        </w:tc>
        <w:tc>
          <w:tcPr>
            <w:tcW w:w="2126" w:type="dxa"/>
          </w:tcPr>
          <w:p w:rsidR="004C7FB0" w:rsidRPr="004E3E75" w:rsidRDefault="004C7FB0" w:rsidP="00301BE2">
            <w:pPr>
              <w:rPr>
                <w:sz w:val="20"/>
                <w:szCs w:val="20"/>
              </w:rPr>
            </w:pPr>
            <w:r>
              <w:rPr>
                <w:sz w:val="20"/>
                <w:szCs w:val="20"/>
              </w:rPr>
              <w:t>Prometna infrastruktura</w:t>
            </w:r>
          </w:p>
        </w:tc>
        <w:tc>
          <w:tcPr>
            <w:tcW w:w="5670" w:type="dxa"/>
          </w:tcPr>
          <w:p w:rsidR="004C7FB0" w:rsidRPr="0093138A" w:rsidRDefault="004C7FB0" w:rsidP="00301BE2">
            <w:pPr>
              <w:spacing w:after="40"/>
              <w:rPr>
                <w:rFonts w:ascii="Calibri" w:eastAsia="Calibri" w:hAnsi="Calibri" w:cs="TimesNewRomanPSMT"/>
                <w:sz w:val="20"/>
                <w:szCs w:val="20"/>
                <w:lang w:val="hr-HR"/>
              </w:rPr>
            </w:pPr>
            <w:r>
              <w:rPr>
                <w:rFonts w:ascii="Calibri" w:eastAsia="Calibri" w:hAnsi="Calibri" w:cs="TimesNewRomanPSMT"/>
                <w:sz w:val="20"/>
                <w:szCs w:val="20"/>
                <w:lang w:val="hr-HR"/>
              </w:rPr>
              <w:t>U</w:t>
            </w:r>
            <w:r w:rsidRPr="0093138A">
              <w:rPr>
                <w:rFonts w:ascii="Calibri" w:eastAsia="Calibri" w:hAnsi="Calibri" w:cs="TimesNewRomanPSMT"/>
                <w:sz w:val="20"/>
                <w:szCs w:val="20"/>
                <w:lang w:val="hr-HR"/>
              </w:rPr>
              <w:t xml:space="preserve"> pogledu prometnog povezivanja naselja Benčinići napominjemo da smo i na sastanku radne skupine za promet i infrastrukturu 1.6.2016. naglasili da nije moguće predvidjeti izravan priključak na autocestu zbog tehničkih i sigurnosnih zahtjeva, nego je potrebno osigurati povezivanje naselja Benčinići na mrežu postojećih nerazvrstanih i/ili lokalnih cesta, odakle se mještani Benčinića mogu uključiti na autocestu B8 preko čvora Matulji ili čvora Anđeli. Podsjećamo da je sukladno načelnom dogovoru s Općinom Matulji, Bina Istra financirala i izgradila čvor Anđeli, pušten u promet 2012. godine, upravo kako bi lokalna samouprava mogla spojiti izolirana naselja kao što je to naselje Benčinići, na predmetni prometni čvor. Čvor Matulji nalazi se na 2,8 km od naselja Benčinići, a čvor Anđeli na 1,3 km. Zbog zahtjeva sigurnosti prometa na autocesti  potrebna je veća udaljenost između čvorova na autocestama.</w:t>
            </w:r>
          </w:p>
          <w:p w:rsidR="004C7FB0" w:rsidRPr="0093138A" w:rsidRDefault="004C7FB0" w:rsidP="00301BE2">
            <w:pPr>
              <w:spacing w:after="40"/>
              <w:rPr>
                <w:rFonts w:ascii="Calibri" w:eastAsia="Calibri" w:hAnsi="Calibri" w:cs="TimesNewRomanPSMT"/>
                <w:sz w:val="20"/>
                <w:szCs w:val="20"/>
                <w:lang w:val="hr-HR"/>
              </w:rPr>
            </w:pPr>
            <w:r w:rsidRPr="0093138A">
              <w:rPr>
                <w:rFonts w:ascii="Calibri" w:eastAsia="Calibri" w:hAnsi="Calibri" w:cs="TimesNewRomanPSMT"/>
                <w:sz w:val="20"/>
                <w:szCs w:val="20"/>
                <w:lang w:val="hr-HR"/>
              </w:rPr>
              <w:t xml:space="preserve">Slijedom navedenoga, potrebno je osigurati prometno povezivanje naselja Benčinići s Matuljima kao općinskim središtem putem nerazvrstane/lokalne ceste odakle će biti moguće propisno uključivanje na dionicu A8 Matulji – Učka. </w:t>
            </w:r>
          </w:p>
        </w:tc>
        <w:tc>
          <w:tcPr>
            <w:tcW w:w="4423" w:type="dxa"/>
          </w:tcPr>
          <w:p w:rsidR="004C7FB0" w:rsidRPr="00AE2A40" w:rsidRDefault="004C7FB0" w:rsidP="00116674">
            <w:pPr>
              <w:jc w:val="both"/>
              <w:rPr>
                <w:sz w:val="20"/>
                <w:szCs w:val="20"/>
              </w:rPr>
            </w:pPr>
            <w:r w:rsidRPr="00DA2DDC">
              <w:rPr>
                <w:rFonts w:ascii="Calibri" w:eastAsia="Calibri" w:hAnsi="Calibri" w:cs="TimesNewRomanPSMT"/>
                <w:sz w:val="20"/>
                <w:szCs w:val="20"/>
                <w:lang w:val="hr-HR"/>
              </w:rPr>
              <w:t>Strategija je dokument općenitog karaktera u kojem su sadržani prioriteti i mjere te preliminarni popis projekata za ostvarivanje strateških ciljeva usmjerenih prema društveno-gospodarskom razvoju Općine Matulji. Uzimajući u obzir da se radi o dokumentu koji definira opće smjernice razvoja Općine</w:t>
            </w:r>
            <w:r>
              <w:rPr>
                <w:rFonts w:ascii="Calibri" w:eastAsia="Calibri" w:hAnsi="Calibri" w:cs="TimesNewRomanPSMT"/>
                <w:sz w:val="20"/>
                <w:szCs w:val="20"/>
                <w:lang w:val="hr-HR"/>
              </w:rPr>
              <w:t xml:space="preserve"> Matulji, razvoj unaprjeđenje i održavanje prometne infrastrukture (nerazvrstanih cesta) sadržan je u Prioritetu 2.3., Mjera 2.3.1. Izgradnja i održavanje nerazvrstanih cesta. </w:t>
            </w:r>
            <w:r>
              <w:rPr>
                <w:rFonts w:ascii="Calibri" w:eastAsia="Calibri" w:hAnsi="Calibri" w:cs="Times New Roman"/>
                <w:sz w:val="20"/>
                <w:szCs w:val="20"/>
              </w:rPr>
              <w:t xml:space="preserve">Također je projekt Izgradnje nerazvrstanih cesta naveden u popisu planiranih razvojnih projekata Općine Matulji u Tablici 3. Razvojni projekti Općine Matulji u razdoblju od 2016. </w:t>
            </w:r>
            <w:proofErr w:type="gramStart"/>
            <w:r>
              <w:rPr>
                <w:rFonts w:ascii="Calibri" w:eastAsia="Calibri" w:hAnsi="Calibri" w:cs="Times New Roman"/>
                <w:sz w:val="20"/>
                <w:szCs w:val="20"/>
              </w:rPr>
              <w:t>do</w:t>
            </w:r>
            <w:proofErr w:type="gramEnd"/>
            <w:r>
              <w:rPr>
                <w:rFonts w:ascii="Calibri" w:eastAsia="Calibri" w:hAnsi="Calibri" w:cs="Times New Roman"/>
                <w:sz w:val="20"/>
                <w:szCs w:val="20"/>
              </w:rPr>
              <w:t xml:space="preserve"> 2020. </w:t>
            </w:r>
            <w:proofErr w:type="gramStart"/>
            <w:r>
              <w:rPr>
                <w:rFonts w:ascii="Calibri" w:eastAsia="Calibri" w:hAnsi="Calibri" w:cs="Times New Roman"/>
                <w:sz w:val="20"/>
                <w:szCs w:val="20"/>
              </w:rPr>
              <w:t>godine</w:t>
            </w:r>
            <w:proofErr w:type="gramEnd"/>
            <w:r>
              <w:rPr>
                <w:rFonts w:ascii="Calibri" w:eastAsia="Calibri" w:hAnsi="Calibri" w:cs="Times New Roman"/>
                <w:sz w:val="20"/>
                <w:szCs w:val="20"/>
              </w:rPr>
              <w:t xml:space="preserve"> pod rednim brojem 10. </w:t>
            </w:r>
            <w:proofErr w:type="gramStart"/>
            <w:r>
              <w:rPr>
                <w:rFonts w:ascii="Calibri" w:eastAsia="Calibri" w:hAnsi="Calibri" w:cs="Times New Roman"/>
                <w:sz w:val="20"/>
                <w:szCs w:val="20"/>
              </w:rPr>
              <w:t>kao</w:t>
            </w:r>
            <w:proofErr w:type="gramEnd"/>
            <w:r>
              <w:rPr>
                <w:rFonts w:ascii="Calibri" w:eastAsia="Calibri" w:hAnsi="Calibri" w:cs="Times New Roman"/>
                <w:sz w:val="20"/>
                <w:szCs w:val="20"/>
              </w:rPr>
              <w:t xml:space="preserve"> projekt u tijeku.</w:t>
            </w:r>
          </w:p>
        </w:tc>
      </w:tr>
      <w:tr w:rsidR="004C7FB0" w:rsidTr="004C7FB0">
        <w:tc>
          <w:tcPr>
            <w:tcW w:w="709" w:type="dxa"/>
          </w:tcPr>
          <w:p w:rsidR="004C7FB0" w:rsidRDefault="004C7FB0" w:rsidP="00301BE2">
            <w:pPr>
              <w:jc w:val="both"/>
              <w:rPr>
                <w:rFonts w:ascii="Calibri" w:hAnsi="Calibri"/>
              </w:rPr>
            </w:pPr>
          </w:p>
        </w:tc>
        <w:tc>
          <w:tcPr>
            <w:tcW w:w="2268" w:type="dxa"/>
          </w:tcPr>
          <w:p w:rsidR="004C7FB0" w:rsidRPr="00A55389" w:rsidRDefault="004C7FB0" w:rsidP="00301BE2">
            <w:pPr>
              <w:rPr>
                <w:rFonts w:ascii="Calibri" w:hAnsi="Calibri"/>
              </w:rPr>
            </w:pPr>
          </w:p>
        </w:tc>
        <w:tc>
          <w:tcPr>
            <w:tcW w:w="2126" w:type="dxa"/>
          </w:tcPr>
          <w:p w:rsidR="004C7FB0" w:rsidRPr="004E3E75" w:rsidRDefault="004C7FB0" w:rsidP="00301BE2">
            <w:pPr>
              <w:rPr>
                <w:sz w:val="20"/>
                <w:szCs w:val="20"/>
              </w:rPr>
            </w:pPr>
            <w:r>
              <w:rPr>
                <w:sz w:val="20"/>
                <w:szCs w:val="20"/>
              </w:rPr>
              <w:t>Prometna infrastruktura</w:t>
            </w:r>
          </w:p>
        </w:tc>
        <w:tc>
          <w:tcPr>
            <w:tcW w:w="5670" w:type="dxa"/>
          </w:tcPr>
          <w:p w:rsidR="004C7FB0" w:rsidRPr="0093138A" w:rsidRDefault="004C7FB0" w:rsidP="00301BE2">
            <w:pPr>
              <w:spacing w:after="40"/>
              <w:rPr>
                <w:rFonts w:ascii="Calibri" w:eastAsia="Calibri" w:hAnsi="Calibri" w:cs="TimesNewRomanPSMT"/>
                <w:sz w:val="20"/>
                <w:szCs w:val="20"/>
                <w:lang w:val="hr-HR"/>
              </w:rPr>
            </w:pPr>
            <w:r w:rsidRPr="0093138A">
              <w:rPr>
                <w:rFonts w:ascii="Calibri" w:eastAsia="Calibri" w:hAnsi="Calibri" w:cs="TimesNewRomanPSMT"/>
                <w:sz w:val="20"/>
                <w:szCs w:val="20"/>
                <w:lang w:val="hr-HR"/>
              </w:rPr>
              <w:t>Ističemo također da je prostorno-planskom dokumentacijom predviđen koridor autoceste A8, te da se u budućnosti planira proširenje postojeće dionice A8 Matulji – tunel Učka na puni profil autoceste. U trenutku sastavljanja ovih primjedbi, od projektne dokumentacije raspoloživa je jedino Studija o utjecaju na okoliš Autoceste A8 Rogovići – Matulji. Stoga naglašavamo na potrebu da svi subjekti koji planiraju eventualne zahvate u pojasu A8 budu upućeni na postojanje ove dokumentacije.</w:t>
            </w:r>
          </w:p>
        </w:tc>
        <w:tc>
          <w:tcPr>
            <w:tcW w:w="4423" w:type="dxa"/>
          </w:tcPr>
          <w:p w:rsidR="004C7FB0" w:rsidRPr="00AE2A40" w:rsidRDefault="004C7FB0" w:rsidP="00301BE2">
            <w:pPr>
              <w:rPr>
                <w:sz w:val="20"/>
                <w:szCs w:val="20"/>
              </w:rPr>
            </w:pPr>
            <w:r w:rsidRPr="00AE2A40">
              <w:rPr>
                <w:sz w:val="20"/>
                <w:szCs w:val="20"/>
              </w:rPr>
              <w:t>Prihvaća se</w:t>
            </w:r>
          </w:p>
        </w:tc>
      </w:tr>
      <w:tr w:rsidR="004C7FB0" w:rsidTr="004C7FB0">
        <w:tc>
          <w:tcPr>
            <w:tcW w:w="709" w:type="dxa"/>
          </w:tcPr>
          <w:p w:rsidR="004C7FB0" w:rsidRDefault="004C7FB0" w:rsidP="00301BE2">
            <w:pPr>
              <w:jc w:val="both"/>
              <w:rPr>
                <w:rFonts w:ascii="Calibri" w:hAnsi="Calibri"/>
                <w:sz w:val="20"/>
                <w:szCs w:val="20"/>
              </w:rPr>
            </w:pPr>
            <w:r>
              <w:rPr>
                <w:rFonts w:ascii="Calibri" w:hAnsi="Calibri"/>
                <w:sz w:val="20"/>
                <w:szCs w:val="20"/>
              </w:rPr>
              <w:t>8.</w:t>
            </w:r>
          </w:p>
        </w:tc>
        <w:tc>
          <w:tcPr>
            <w:tcW w:w="2268" w:type="dxa"/>
          </w:tcPr>
          <w:p w:rsidR="004C7FB0" w:rsidRPr="0093138A" w:rsidRDefault="004C7FB0" w:rsidP="00301BE2">
            <w:pPr>
              <w:rPr>
                <w:rFonts w:ascii="Calibri" w:hAnsi="Calibri"/>
                <w:sz w:val="20"/>
                <w:szCs w:val="20"/>
              </w:rPr>
            </w:pPr>
            <w:r>
              <w:rPr>
                <w:rFonts w:ascii="Calibri" w:hAnsi="Calibri"/>
                <w:sz w:val="20"/>
                <w:szCs w:val="20"/>
              </w:rPr>
              <w:t>Anonimni sudionik javne rasprave</w:t>
            </w:r>
          </w:p>
        </w:tc>
        <w:tc>
          <w:tcPr>
            <w:tcW w:w="2126" w:type="dxa"/>
          </w:tcPr>
          <w:p w:rsidR="004C7FB0" w:rsidRDefault="004C7FB0" w:rsidP="00301BE2">
            <w:pPr>
              <w:rPr>
                <w:sz w:val="20"/>
                <w:szCs w:val="20"/>
              </w:rPr>
            </w:pPr>
            <w:r>
              <w:rPr>
                <w:sz w:val="20"/>
                <w:szCs w:val="20"/>
              </w:rPr>
              <w:t>Prometna infrastruktura</w:t>
            </w:r>
          </w:p>
        </w:tc>
        <w:tc>
          <w:tcPr>
            <w:tcW w:w="5670" w:type="dxa"/>
          </w:tcPr>
          <w:p w:rsidR="004C7FB0" w:rsidRPr="007021AE" w:rsidRDefault="004C7FB0" w:rsidP="00301BE2">
            <w:pPr>
              <w:rPr>
                <w:sz w:val="20"/>
                <w:szCs w:val="20"/>
              </w:rPr>
            </w:pPr>
            <w:r w:rsidRPr="007021AE">
              <w:rPr>
                <w:sz w:val="20"/>
                <w:szCs w:val="20"/>
              </w:rPr>
              <w:t>Nerješen prilaz za selo Benčinići, 29 stanovnika, rješavanje prilaza - Iako su svi nadležni organi upoznati s našim problemom (BINA Istra,</w:t>
            </w:r>
            <w:r>
              <w:rPr>
                <w:sz w:val="20"/>
                <w:szCs w:val="20"/>
              </w:rPr>
              <w:t xml:space="preserve"> </w:t>
            </w:r>
            <w:r w:rsidRPr="007021AE">
              <w:rPr>
                <w:sz w:val="20"/>
                <w:szCs w:val="20"/>
              </w:rPr>
              <w:t>Općina Matulji,</w:t>
            </w:r>
            <w:r>
              <w:rPr>
                <w:sz w:val="20"/>
                <w:szCs w:val="20"/>
              </w:rPr>
              <w:t xml:space="preserve"> </w:t>
            </w:r>
            <w:r w:rsidRPr="007021AE">
              <w:rPr>
                <w:sz w:val="20"/>
                <w:szCs w:val="20"/>
              </w:rPr>
              <w:t>Ministarstvo prometa i veza,</w:t>
            </w:r>
            <w:r>
              <w:rPr>
                <w:sz w:val="20"/>
                <w:szCs w:val="20"/>
              </w:rPr>
              <w:t xml:space="preserve"> </w:t>
            </w:r>
            <w:r w:rsidRPr="007021AE">
              <w:rPr>
                <w:sz w:val="20"/>
                <w:szCs w:val="20"/>
              </w:rPr>
              <w:t xml:space="preserve">Ured </w:t>
            </w:r>
            <w:r w:rsidRPr="007021AE">
              <w:rPr>
                <w:sz w:val="20"/>
                <w:szCs w:val="20"/>
              </w:rPr>
              <w:lastRenderedPageBreak/>
              <w:t>predsjednika Republike),</w:t>
            </w:r>
            <w:r>
              <w:rPr>
                <w:sz w:val="20"/>
                <w:szCs w:val="20"/>
              </w:rPr>
              <w:t xml:space="preserve"> </w:t>
            </w:r>
            <w:r w:rsidRPr="007021AE">
              <w:rPr>
                <w:sz w:val="20"/>
                <w:szCs w:val="20"/>
              </w:rPr>
              <w:t>rješenja za nas i dalje nema.</w:t>
            </w:r>
          </w:p>
          <w:p w:rsidR="004C7FB0" w:rsidRPr="007021AE" w:rsidRDefault="004C7FB0" w:rsidP="00301BE2">
            <w:pPr>
              <w:rPr>
                <w:sz w:val="20"/>
                <w:szCs w:val="20"/>
              </w:rPr>
            </w:pPr>
            <w:r w:rsidRPr="007021AE">
              <w:rPr>
                <w:sz w:val="20"/>
                <w:szCs w:val="20"/>
              </w:rPr>
              <w:t>Uz obećanja,</w:t>
            </w:r>
            <w:r>
              <w:rPr>
                <w:sz w:val="20"/>
                <w:szCs w:val="20"/>
              </w:rPr>
              <w:t xml:space="preserve"> </w:t>
            </w:r>
            <w:r w:rsidRPr="007021AE">
              <w:rPr>
                <w:sz w:val="20"/>
                <w:szCs w:val="20"/>
              </w:rPr>
              <w:t>nismo ni navedeni u programu od 2016.-2020.</w:t>
            </w:r>
          </w:p>
          <w:p w:rsidR="004C7FB0" w:rsidRPr="00F15484" w:rsidRDefault="004C7FB0" w:rsidP="00301BE2">
            <w:pPr>
              <w:rPr>
                <w:rFonts w:cs="TimesNewRomanPSMT"/>
                <w:sz w:val="20"/>
                <w:szCs w:val="20"/>
                <w:lang w:val="hr-HR"/>
              </w:rPr>
            </w:pPr>
            <w:r w:rsidRPr="007021AE">
              <w:rPr>
                <w:sz w:val="20"/>
                <w:szCs w:val="20"/>
              </w:rPr>
              <w:t>Molimo obrazloženje zbog čega nas se ignorira već godinama,</w:t>
            </w:r>
            <w:r>
              <w:rPr>
                <w:sz w:val="20"/>
                <w:szCs w:val="20"/>
              </w:rPr>
              <w:t xml:space="preserve"> </w:t>
            </w:r>
            <w:r w:rsidRPr="007021AE">
              <w:rPr>
                <w:sz w:val="20"/>
                <w:szCs w:val="20"/>
              </w:rPr>
              <w:t>i ne želi nam se omogućiti siguran izlaz na cestu tj.</w:t>
            </w:r>
            <w:r>
              <w:rPr>
                <w:sz w:val="20"/>
                <w:szCs w:val="20"/>
              </w:rPr>
              <w:t xml:space="preserve"> </w:t>
            </w:r>
            <w:proofErr w:type="gramStart"/>
            <w:r w:rsidRPr="007021AE">
              <w:rPr>
                <w:sz w:val="20"/>
                <w:szCs w:val="20"/>
              </w:rPr>
              <w:t>ulaz</w:t>
            </w:r>
            <w:proofErr w:type="gramEnd"/>
            <w:r w:rsidRPr="007021AE">
              <w:rPr>
                <w:sz w:val="20"/>
                <w:szCs w:val="20"/>
              </w:rPr>
              <w:t xml:space="preserve"> do naših</w:t>
            </w:r>
            <w:r>
              <w:rPr>
                <w:sz w:val="20"/>
                <w:szCs w:val="20"/>
              </w:rPr>
              <w:t xml:space="preserve"> </w:t>
            </w:r>
            <w:r w:rsidRPr="007021AE">
              <w:rPr>
                <w:sz w:val="20"/>
                <w:szCs w:val="20"/>
              </w:rPr>
              <w:t xml:space="preserve">domova. </w:t>
            </w:r>
            <w:r>
              <w:rPr>
                <w:sz w:val="20"/>
                <w:szCs w:val="20"/>
              </w:rPr>
              <w:t xml:space="preserve"> </w:t>
            </w:r>
            <w:r w:rsidRPr="007021AE">
              <w:rPr>
                <w:sz w:val="20"/>
                <w:szCs w:val="20"/>
              </w:rPr>
              <w:t>Uz sva lažna obećanja (novine i televizija) koja slušamo,</w:t>
            </w:r>
            <w:r>
              <w:rPr>
                <w:sz w:val="20"/>
                <w:szCs w:val="20"/>
              </w:rPr>
              <w:t xml:space="preserve"> </w:t>
            </w:r>
            <w:r w:rsidRPr="007021AE">
              <w:rPr>
                <w:sz w:val="20"/>
                <w:szCs w:val="20"/>
              </w:rPr>
              <w:t>rješenja za nas i dalje nema?</w:t>
            </w:r>
            <w:r>
              <w:rPr>
                <w:sz w:val="20"/>
                <w:szCs w:val="20"/>
              </w:rPr>
              <w:t xml:space="preserve"> </w:t>
            </w:r>
            <w:r w:rsidRPr="007021AE">
              <w:rPr>
                <w:sz w:val="20"/>
                <w:szCs w:val="20"/>
              </w:rPr>
              <w:t>Primjedbe se šalju već desetak godina,</w:t>
            </w:r>
            <w:r>
              <w:rPr>
                <w:sz w:val="20"/>
                <w:szCs w:val="20"/>
              </w:rPr>
              <w:t xml:space="preserve"> </w:t>
            </w:r>
            <w:r w:rsidRPr="007021AE">
              <w:rPr>
                <w:sz w:val="20"/>
                <w:szCs w:val="20"/>
              </w:rPr>
              <w:t>Vi ih imate,</w:t>
            </w:r>
            <w:r>
              <w:rPr>
                <w:sz w:val="20"/>
                <w:szCs w:val="20"/>
              </w:rPr>
              <w:t xml:space="preserve"> </w:t>
            </w:r>
            <w:r w:rsidRPr="007021AE">
              <w:rPr>
                <w:sz w:val="20"/>
                <w:szCs w:val="20"/>
              </w:rPr>
              <w:t>ali se očigledno ništa ne poduzima po tom pitanju</w:t>
            </w:r>
            <w:r>
              <w:rPr>
                <w:sz w:val="20"/>
                <w:szCs w:val="20"/>
              </w:rPr>
              <w:t>.</w:t>
            </w:r>
          </w:p>
        </w:tc>
        <w:tc>
          <w:tcPr>
            <w:tcW w:w="4423" w:type="dxa"/>
          </w:tcPr>
          <w:p w:rsidR="004C7FB0" w:rsidRPr="00301BE2" w:rsidRDefault="004C7FB0" w:rsidP="00116674">
            <w:pPr>
              <w:jc w:val="both"/>
              <w:rPr>
                <w:strike/>
                <w:color w:val="FF0000"/>
                <w:sz w:val="20"/>
                <w:szCs w:val="20"/>
              </w:rPr>
            </w:pPr>
            <w:r w:rsidRPr="00DA2DDC">
              <w:rPr>
                <w:rFonts w:ascii="Calibri" w:eastAsia="Calibri" w:hAnsi="Calibri" w:cs="TimesNewRomanPSMT"/>
                <w:sz w:val="20"/>
                <w:szCs w:val="20"/>
                <w:lang w:val="hr-HR"/>
              </w:rPr>
              <w:lastRenderedPageBreak/>
              <w:t xml:space="preserve">Strategija je dokument općenitog karaktera u kojem su sadržani prioriteti i mjere te preliminarni popis projekata za ostvarivanje strateških ciljeva </w:t>
            </w:r>
            <w:r w:rsidRPr="00DA2DDC">
              <w:rPr>
                <w:rFonts w:ascii="Calibri" w:eastAsia="Calibri" w:hAnsi="Calibri" w:cs="TimesNewRomanPSMT"/>
                <w:sz w:val="20"/>
                <w:szCs w:val="20"/>
                <w:lang w:val="hr-HR"/>
              </w:rPr>
              <w:lastRenderedPageBreak/>
              <w:t>usmjerenih prema društveno-gospodarskom razvoju Općine Matulji. Uzimajući u obzir da se radi o dokumentu koji definira opće smjernice razvoja Općine</w:t>
            </w:r>
            <w:r>
              <w:rPr>
                <w:rFonts w:ascii="Calibri" w:eastAsia="Calibri" w:hAnsi="Calibri" w:cs="TimesNewRomanPSMT"/>
                <w:sz w:val="20"/>
                <w:szCs w:val="20"/>
                <w:lang w:val="hr-HR"/>
              </w:rPr>
              <w:t xml:space="preserve"> razvoj unaprjeđenje i održavanje prometne infrastrukture (nerazvrstanih cesta)  sadržan je u Strateškom cilju 2., Prioritetu 2.3., Mjera 2.3.1. Izgradnja i održavanje nerazvrstanih cesta. </w:t>
            </w:r>
            <w:r>
              <w:rPr>
                <w:rFonts w:ascii="Calibri" w:eastAsia="Calibri" w:hAnsi="Calibri" w:cs="Times New Roman"/>
                <w:sz w:val="20"/>
                <w:szCs w:val="20"/>
              </w:rPr>
              <w:t xml:space="preserve">Također je projekt Izgradnje nerazvrstanih cesta naveden u popisu planiranih razvojnih projekata Općine Matulji u Tablici 3. Razvojni projekti Općine Matulji u razdoblju od 2016. </w:t>
            </w:r>
            <w:proofErr w:type="gramStart"/>
            <w:r>
              <w:rPr>
                <w:rFonts w:ascii="Calibri" w:eastAsia="Calibri" w:hAnsi="Calibri" w:cs="Times New Roman"/>
                <w:sz w:val="20"/>
                <w:szCs w:val="20"/>
              </w:rPr>
              <w:t>do</w:t>
            </w:r>
            <w:proofErr w:type="gramEnd"/>
            <w:r>
              <w:rPr>
                <w:rFonts w:ascii="Calibri" w:eastAsia="Calibri" w:hAnsi="Calibri" w:cs="Times New Roman"/>
                <w:sz w:val="20"/>
                <w:szCs w:val="20"/>
              </w:rPr>
              <w:t xml:space="preserve"> 2020. </w:t>
            </w:r>
            <w:proofErr w:type="gramStart"/>
            <w:r>
              <w:rPr>
                <w:rFonts w:ascii="Calibri" w:eastAsia="Calibri" w:hAnsi="Calibri" w:cs="Times New Roman"/>
                <w:sz w:val="20"/>
                <w:szCs w:val="20"/>
              </w:rPr>
              <w:t>godine</w:t>
            </w:r>
            <w:proofErr w:type="gramEnd"/>
            <w:r>
              <w:rPr>
                <w:rFonts w:ascii="Calibri" w:eastAsia="Calibri" w:hAnsi="Calibri" w:cs="Times New Roman"/>
                <w:sz w:val="20"/>
                <w:szCs w:val="20"/>
              </w:rPr>
              <w:t xml:space="preserve"> pod rednim brojem 10. </w:t>
            </w:r>
            <w:proofErr w:type="gramStart"/>
            <w:r>
              <w:rPr>
                <w:rFonts w:ascii="Calibri" w:eastAsia="Calibri" w:hAnsi="Calibri" w:cs="Times New Roman"/>
                <w:sz w:val="20"/>
                <w:szCs w:val="20"/>
              </w:rPr>
              <w:t>kao</w:t>
            </w:r>
            <w:proofErr w:type="gramEnd"/>
            <w:r>
              <w:rPr>
                <w:rFonts w:ascii="Calibri" w:eastAsia="Calibri" w:hAnsi="Calibri" w:cs="Times New Roman"/>
                <w:sz w:val="20"/>
                <w:szCs w:val="20"/>
              </w:rPr>
              <w:t xml:space="preserve"> projekt u tijeku.</w:t>
            </w:r>
          </w:p>
        </w:tc>
      </w:tr>
      <w:tr w:rsidR="004C7FB0" w:rsidTr="004C7FB0">
        <w:tc>
          <w:tcPr>
            <w:tcW w:w="709" w:type="dxa"/>
            <w:vMerge w:val="restart"/>
          </w:tcPr>
          <w:p w:rsidR="004C7FB0" w:rsidRPr="0093138A" w:rsidRDefault="004C7FB0" w:rsidP="00301BE2">
            <w:pPr>
              <w:jc w:val="both"/>
              <w:rPr>
                <w:rFonts w:ascii="Calibri" w:hAnsi="Calibri"/>
                <w:sz w:val="20"/>
                <w:szCs w:val="20"/>
              </w:rPr>
            </w:pPr>
            <w:r>
              <w:rPr>
                <w:rFonts w:ascii="Calibri" w:hAnsi="Calibri"/>
                <w:sz w:val="20"/>
                <w:szCs w:val="20"/>
              </w:rPr>
              <w:lastRenderedPageBreak/>
              <w:t>9.</w:t>
            </w:r>
          </w:p>
        </w:tc>
        <w:tc>
          <w:tcPr>
            <w:tcW w:w="2268" w:type="dxa"/>
            <w:vMerge w:val="restart"/>
          </w:tcPr>
          <w:p w:rsidR="004C7FB0" w:rsidRPr="0093138A" w:rsidRDefault="004C7FB0" w:rsidP="00301BE2">
            <w:pPr>
              <w:rPr>
                <w:rFonts w:ascii="Calibri" w:hAnsi="Calibri"/>
                <w:sz w:val="20"/>
                <w:szCs w:val="20"/>
              </w:rPr>
            </w:pPr>
            <w:r w:rsidRPr="0093138A">
              <w:rPr>
                <w:rFonts w:ascii="Calibri" w:hAnsi="Calibri"/>
                <w:sz w:val="20"/>
                <w:szCs w:val="20"/>
              </w:rPr>
              <w:t>Mjesni odbor Veli Brgud</w:t>
            </w:r>
          </w:p>
          <w:p w:rsidR="004C7FB0" w:rsidRPr="0093138A" w:rsidRDefault="004C7FB0" w:rsidP="00301BE2">
            <w:pPr>
              <w:rPr>
                <w:rFonts w:ascii="Calibri" w:hAnsi="Calibri"/>
                <w:sz w:val="20"/>
                <w:szCs w:val="20"/>
              </w:rPr>
            </w:pPr>
            <w:r w:rsidRPr="0093138A">
              <w:rPr>
                <w:rFonts w:ascii="Calibri" w:hAnsi="Calibri"/>
                <w:sz w:val="20"/>
                <w:szCs w:val="20"/>
              </w:rPr>
              <w:t>Sandro Pecman, struč.spec.ing.aedif., Predsjednik MO Veli Brgud</w:t>
            </w:r>
          </w:p>
        </w:tc>
        <w:tc>
          <w:tcPr>
            <w:tcW w:w="2126" w:type="dxa"/>
          </w:tcPr>
          <w:p w:rsidR="004C7FB0" w:rsidRPr="004E3E75" w:rsidRDefault="004C7FB0" w:rsidP="00301BE2">
            <w:pPr>
              <w:rPr>
                <w:sz w:val="20"/>
                <w:szCs w:val="20"/>
              </w:rPr>
            </w:pPr>
            <w:r>
              <w:rPr>
                <w:sz w:val="20"/>
                <w:szCs w:val="20"/>
              </w:rPr>
              <w:t>Prometna infrastruktura</w:t>
            </w:r>
          </w:p>
        </w:tc>
        <w:tc>
          <w:tcPr>
            <w:tcW w:w="5670" w:type="dxa"/>
          </w:tcPr>
          <w:p w:rsidR="004C7FB0" w:rsidRPr="00CC2822" w:rsidRDefault="004C7FB0" w:rsidP="00301BE2">
            <w:pPr>
              <w:autoSpaceDE w:val="0"/>
              <w:autoSpaceDN w:val="0"/>
              <w:adjustRightInd w:val="0"/>
              <w:jc w:val="both"/>
            </w:pPr>
            <w:r w:rsidRPr="00CC2822">
              <w:rPr>
                <w:rFonts w:ascii="Calibri" w:eastAsia="Calibri" w:hAnsi="Calibri" w:cs="Times New Roman"/>
                <w:sz w:val="20"/>
                <w:szCs w:val="20"/>
              </w:rPr>
              <w:t>Uvrštenje u program otkup zemljišta za proširenje i uređenje županijske ceste V.Brgud-Brešca (Ž5015)</w:t>
            </w:r>
            <w:r>
              <w:rPr>
                <w:sz w:val="20"/>
                <w:szCs w:val="20"/>
              </w:rPr>
              <w:t xml:space="preserve"> </w:t>
            </w:r>
            <w:r w:rsidRPr="00CC2822">
              <w:rPr>
                <w:sz w:val="20"/>
                <w:szCs w:val="20"/>
              </w:rPr>
              <w:t>-</w:t>
            </w:r>
            <w:r>
              <w:rPr>
                <w:sz w:val="20"/>
                <w:szCs w:val="20"/>
              </w:rPr>
              <w:t xml:space="preserve"> </w:t>
            </w:r>
            <w:r w:rsidRPr="00CC2822">
              <w:rPr>
                <w:rFonts w:ascii="Calibri" w:eastAsia="Calibri" w:hAnsi="Calibri" w:cs="Times New Roman"/>
                <w:sz w:val="20"/>
                <w:szCs w:val="20"/>
              </w:rPr>
              <w:t>Smatramo kako je od velike važnosti za razvoj mjesta Veli Brgud proširenje i uređenje županijske ceste V.Brgud-Brešca (Ž5015) iz razloga dotrajalosti i povećanog intenziteta prometa ponajviše zbog novoizgrađenih višestambenih objekata. Osim dotrajalosti, na pojedinim dionicama postojeća cesta je i preuska za mimoilaženje dva osobna vozila, dok se osobno vozilo i teretno vozilo ili osobno vozilo i autobus na nekim dionicama niti ne mogu mimoići. Kako bi se moglo izrealizirati ovaj projekt potreban je otkup zemljišta u površinama na kojima bi se prema projektnoj dokumentaciji cesta širila. Zbog prethodno navedenog smatramo naš prijedlog opravdanim.</w:t>
            </w:r>
          </w:p>
        </w:tc>
        <w:tc>
          <w:tcPr>
            <w:tcW w:w="4423" w:type="dxa"/>
          </w:tcPr>
          <w:p w:rsidR="004C7FB0" w:rsidRDefault="004C7FB0" w:rsidP="0071483F">
            <w:pPr>
              <w:jc w:val="both"/>
              <w:rPr>
                <w:color w:val="FF0000"/>
              </w:rPr>
            </w:pPr>
            <w:r w:rsidRPr="00116674">
              <w:rPr>
                <w:rFonts w:ascii="Calibri" w:eastAsia="Calibri" w:hAnsi="Calibri" w:cs="TimesNewRomanPSMT"/>
                <w:color w:val="000000" w:themeColor="text1"/>
                <w:sz w:val="20"/>
                <w:szCs w:val="20"/>
                <w:lang w:val="hr-HR"/>
              </w:rPr>
              <w:t xml:space="preserve">Navedena cesta je županijska cesta, a županijske ceste nisu u nadležnosti Općine Matulji. Međutim, ukoliko dođe do realizacije ovog projekta od strane nadležnih institucija, Općina Matulji je u svojoj strategiji predvidjela podršku projektu kroz unaprjeđenje i održavanje prometne infrastrukture (javnih prometnica) sadržano </w:t>
            </w:r>
            <w:r>
              <w:rPr>
                <w:rFonts w:ascii="Calibri" w:eastAsia="Calibri" w:hAnsi="Calibri" w:cs="TimesNewRomanPSMT"/>
                <w:sz w:val="20"/>
                <w:szCs w:val="20"/>
                <w:lang w:val="hr-HR"/>
              </w:rPr>
              <w:t xml:space="preserve">u Strateškom cilju 2.,  Prioritetu 2.3., Mjeri 2.3.2. Podrška izgradnji i održavanju javnih prometnica. </w:t>
            </w:r>
            <w:r>
              <w:rPr>
                <w:rFonts w:ascii="Calibri" w:eastAsia="Calibri" w:hAnsi="Calibri" w:cs="Times New Roman"/>
                <w:sz w:val="20"/>
                <w:szCs w:val="20"/>
              </w:rPr>
              <w:t xml:space="preserve">Također je projekt Izgradnje i rekonstrukcije javnih cesta naveden u popisu planiranih razvojnih projekata Općine Matulji u Tablici 3. Razvojni projekti Općine Matulji u razdoblju od 2016. </w:t>
            </w:r>
            <w:proofErr w:type="gramStart"/>
            <w:r>
              <w:rPr>
                <w:rFonts w:ascii="Calibri" w:eastAsia="Calibri" w:hAnsi="Calibri" w:cs="Times New Roman"/>
                <w:sz w:val="20"/>
                <w:szCs w:val="20"/>
              </w:rPr>
              <w:t>do</w:t>
            </w:r>
            <w:proofErr w:type="gramEnd"/>
            <w:r>
              <w:rPr>
                <w:rFonts w:ascii="Calibri" w:eastAsia="Calibri" w:hAnsi="Calibri" w:cs="Times New Roman"/>
                <w:sz w:val="20"/>
                <w:szCs w:val="20"/>
              </w:rPr>
              <w:t xml:space="preserve"> 2020. </w:t>
            </w:r>
            <w:proofErr w:type="gramStart"/>
            <w:r>
              <w:rPr>
                <w:rFonts w:ascii="Calibri" w:eastAsia="Calibri" w:hAnsi="Calibri" w:cs="Times New Roman"/>
                <w:sz w:val="20"/>
                <w:szCs w:val="20"/>
              </w:rPr>
              <w:t>godine</w:t>
            </w:r>
            <w:proofErr w:type="gramEnd"/>
            <w:r>
              <w:rPr>
                <w:rFonts w:ascii="Calibri" w:eastAsia="Calibri" w:hAnsi="Calibri" w:cs="Times New Roman"/>
                <w:sz w:val="20"/>
                <w:szCs w:val="20"/>
              </w:rPr>
              <w:t xml:space="preserve"> pod rednim brojem 11. </w:t>
            </w:r>
            <w:proofErr w:type="gramStart"/>
            <w:r>
              <w:rPr>
                <w:rFonts w:ascii="Calibri" w:eastAsia="Calibri" w:hAnsi="Calibri" w:cs="Times New Roman"/>
                <w:sz w:val="20"/>
                <w:szCs w:val="20"/>
              </w:rPr>
              <w:t>kao</w:t>
            </w:r>
            <w:proofErr w:type="gramEnd"/>
            <w:r>
              <w:rPr>
                <w:rFonts w:ascii="Calibri" w:eastAsia="Calibri" w:hAnsi="Calibri" w:cs="Times New Roman"/>
                <w:sz w:val="20"/>
                <w:szCs w:val="20"/>
              </w:rPr>
              <w:t xml:space="preserve"> projekt u tijeku.</w:t>
            </w:r>
          </w:p>
        </w:tc>
      </w:tr>
      <w:tr w:rsidR="004C7FB0" w:rsidTr="004C7FB0">
        <w:tc>
          <w:tcPr>
            <w:tcW w:w="709" w:type="dxa"/>
            <w:vMerge/>
          </w:tcPr>
          <w:p w:rsidR="004C7FB0" w:rsidRDefault="004C7FB0" w:rsidP="00301BE2">
            <w:pPr>
              <w:jc w:val="both"/>
              <w:rPr>
                <w:rFonts w:ascii="Calibri" w:hAnsi="Calibri"/>
              </w:rPr>
            </w:pPr>
          </w:p>
        </w:tc>
        <w:tc>
          <w:tcPr>
            <w:tcW w:w="2268" w:type="dxa"/>
            <w:vMerge/>
          </w:tcPr>
          <w:p w:rsidR="004C7FB0" w:rsidRPr="00A55389" w:rsidRDefault="004C7FB0" w:rsidP="00301BE2">
            <w:pPr>
              <w:rPr>
                <w:rFonts w:ascii="Calibri" w:hAnsi="Calibri"/>
              </w:rPr>
            </w:pPr>
          </w:p>
        </w:tc>
        <w:tc>
          <w:tcPr>
            <w:tcW w:w="2126" w:type="dxa"/>
          </w:tcPr>
          <w:p w:rsidR="004C7FB0" w:rsidRPr="004E3E75" w:rsidRDefault="004C7FB0" w:rsidP="00301BE2">
            <w:pPr>
              <w:rPr>
                <w:sz w:val="20"/>
                <w:szCs w:val="20"/>
              </w:rPr>
            </w:pPr>
            <w:r>
              <w:rPr>
                <w:sz w:val="20"/>
                <w:szCs w:val="20"/>
              </w:rPr>
              <w:t>Društvena infrastruktura</w:t>
            </w:r>
          </w:p>
        </w:tc>
        <w:tc>
          <w:tcPr>
            <w:tcW w:w="5670" w:type="dxa"/>
          </w:tcPr>
          <w:p w:rsidR="004C7FB0" w:rsidRPr="00325241" w:rsidRDefault="004C7FB0" w:rsidP="00301BE2">
            <w:pPr>
              <w:jc w:val="both"/>
              <w:rPr>
                <w:rFonts w:ascii="Calibri" w:eastAsia="Calibri" w:hAnsi="Calibri" w:cs="Times New Roman"/>
                <w:sz w:val="20"/>
                <w:szCs w:val="20"/>
              </w:rPr>
            </w:pPr>
            <w:r w:rsidRPr="00325241">
              <w:rPr>
                <w:rFonts w:ascii="Calibri" w:eastAsia="Calibri" w:hAnsi="Calibri" w:cs="Times New Roman"/>
                <w:sz w:val="20"/>
                <w:szCs w:val="20"/>
              </w:rPr>
              <w:t>Uređenje objekta škole i vrtića V.Brgud</w:t>
            </w:r>
            <w:r>
              <w:rPr>
                <w:sz w:val="20"/>
                <w:szCs w:val="20"/>
              </w:rPr>
              <w:t xml:space="preserve"> </w:t>
            </w:r>
            <w:r w:rsidRPr="00325241">
              <w:rPr>
                <w:sz w:val="20"/>
                <w:szCs w:val="20"/>
              </w:rPr>
              <w:t xml:space="preserve">– </w:t>
            </w:r>
            <w:r w:rsidRPr="00325241">
              <w:rPr>
                <w:rFonts w:ascii="Calibri" w:eastAsia="Calibri" w:hAnsi="Calibri" w:cs="Times New Roman"/>
                <w:sz w:val="20"/>
                <w:szCs w:val="20"/>
              </w:rPr>
              <w:t>Uvrštenje u program uređenje objekta škole i vrtića u Velom Brgudu, u koliko isto nije uvršteno pod neku od „grupnih podjela“ u objavljenom dokumentu prijedloga razvojnog programa</w:t>
            </w:r>
          </w:p>
          <w:p w:rsidR="004C7FB0" w:rsidRPr="00325241" w:rsidRDefault="004C7FB0" w:rsidP="00301BE2">
            <w:pPr>
              <w:autoSpaceDE w:val="0"/>
              <w:autoSpaceDN w:val="0"/>
              <w:adjustRightInd w:val="0"/>
              <w:jc w:val="both"/>
              <w:rPr>
                <w:sz w:val="20"/>
                <w:szCs w:val="20"/>
              </w:rPr>
            </w:pPr>
            <w:r w:rsidRPr="00325241">
              <w:rPr>
                <w:rFonts w:ascii="Calibri" w:eastAsia="Calibri" w:hAnsi="Calibri" w:cs="Times New Roman"/>
                <w:sz w:val="20"/>
                <w:szCs w:val="20"/>
              </w:rPr>
              <w:t xml:space="preserve">- </w:t>
            </w:r>
            <w:proofErr w:type="gramStart"/>
            <w:r w:rsidRPr="00325241">
              <w:rPr>
                <w:rFonts w:ascii="Calibri" w:eastAsia="Calibri" w:hAnsi="Calibri" w:cs="Times New Roman"/>
                <w:sz w:val="20"/>
                <w:szCs w:val="20"/>
              </w:rPr>
              <w:t>uređenje</w:t>
            </w:r>
            <w:proofErr w:type="gramEnd"/>
            <w:r w:rsidRPr="00325241">
              <w:rPr>
                <w:rFonts w:ascii="Calibri" w:eastAsia="Calibri" w:hAnsi="Calibri" w:cs="Times New Roman"/>
                <w:sz w:val="20"/>
                <w:szCs w:val="20"/>
              </w:rPr>
              <w:t xml:space="preserve"> pročelja škole, zamjena dotrajale stolarije, uređenje dotrajale bravarije, uređenje dvorišta škole i vrtića (hodna površina u dvorištu oko škole i vrtića, uključujući stepenice)</w:t>
            </w:r>
            <w:r w:rsidRPr="00325241">
              <w:rPr>
                <w:sz w:val="20"/>
                <w:szCs w:val="20"/>
              </w:rPr>
              <w:t>.</w:t>
            </w:r>
          </w:p>
          <w:p w:rsidR="004C7FB0" w:rsidRPr="00F15484" w:rsidRDefault="004C7FB0" w:rsidP="00301BE2">
            <w:pPr>
              <w:autoSpaceDE w:val="0"/>
              <w:autoSpaceDN w:val="0"/>
              <w:adjustRightInd w:val="0"/>
              <w:jc w:val="both"/>
              <w:rPr>
                <w:rFonts w:cs="TimesNewRomanPSMT"/>
                <w:sz w:val="20"/>
                <w:szCs w:val="20"/>
                <w:lang w:val="hr-HR"/>
              </w:rPr>
            </w:pPr>
            <w:r w:rsidRPr="00325241">
              <w:rPr>
                <w:rFonts w:ascii="Calibri" w:eastAsia="Calibri" w:hAnsi="Calibri" w:cs="Times New Roman"/>
                <w:sz w:val="20"/>
                <w:szCs w:val="20"/>
              </w:rPr>
              <w:t xml:space="preserve">Smatramo kako je objekt škole i njegov okoliš zaista dotrajao te je potrebno uređenje istog. Objekt je estetski lošeg izgleda ali osim estetskog razloga još je bitniji razlog same sigurnosti objekta, s kojeg svakodnevno opada žbuka, ograda je zahrđala, stepenice i put oko zgrade su razbijeni itd. Stanje je još i alarmantnije s </w:t>
            </w:r>
            <w:r w:rsidRPr="00325241">
              <w:rPr>
                <w:rFonts w:ascii="Calibri" w:eastAsia="Calibri" w:hAnsi="Calibri" w:cs="Times New Roman"/>
                <w:sz w:val="20"/>
                <w:szCs w:val="20"/>
              </w:rPr>
              <w:lastRenderedPageBreak/>
              <w:t>obzirom da se radi o objektu u kojem svakodnevno borave djeca vrtićke i osnovnoškolske dobi. Osim navedenog svakako bi se postavom novog omotača zgrade i promjenom stolarije poboljšala i energetska učinkovitost zgrade te samim time i smanjili troškovi prilikom korištenja. Smatramo kako nikako nije na čast nikome od odgovornih da predmetni objekt izgleda u takvom stanju, s obzirom da se ipak radi i o javnoj ustanovi te smatramo kako je navedeno zaista opravdano i potrebno izrealizirati u najkraćem mogućem roku.</w:t>
            </w:r>
          </w:p>
        </w:tc>
        <w:tc>
          <w:tcPr>
            <w:tcW w:w="4423" w:type="dxa"/>
          </w:tcPr>
          <w:p w:rsidR="004C7FB0" w:rsidRDefault="004C7FB0" w:rsidP="00301BE2">
            <w:pPr>
              <w:jc w:val="both"/>
              <w:rPr>
                <w:color w:val="FF0000"/>
              </w:rPr>
            </w:pPr>
            <w:r w:rsidRPr="005D4AF4">
              <w:rPr>
                <w:rFonts w:ascii="Calibri" w:eastAsia="Calibri" w:hAnsi="Calibri" w:cs="Times New Roman"/>
                <w:sz w:val="20"/>
                <w:szCs w:val="20"/>
              </w:rPr>
              <w:lastRenderedPageBreak/>
              <w:t xml:space="preserve">Aktivnosti i projekti energetske obnove objekata škola i vrtića na području Općine Matulji sadržani su Strateškom cilju </w:t>
            </w:r>
            <w:proofErr w:type="gramStart"/>
            <w:r w:rsidRPr="005D4AF4">
              <w:rPr>
                <w:rFonts w:ascii="Calibri" w:eastAsia="Calibri" w:hAnsi="Calibri" w:cs="Times New Roman"/>
                <w:sz w:val="20"/>
                <w:szCs w:val="20"/>
              </w:rPr>
              <w:t>2.,</w:t>
            </w:r>
            <w:proofErr w:type="gramEnd"/>
            <w:r w:rsidRPr="005D4AF4">
              <w:rPr>
                <w:rFonts w:ascii="Calibri" w:eastAsia="Calibri" w:hAnsi="Calibri" w:cs="Times New Roman"/>
                <w:sz w:val="20"/>
                <w:szCs w:val="20"/>
              </w:rPr>
              <w:t xml:space="preserve"> </w:t>
            </w:r>
            <w:r>
              <w:rPr>
                <w:rFonts w:ascii="Calibri" w:eastAsia="Calibri" w:hAnsi="Calibri" w:cs="Times New Roman"/>
                <w:sz w:val="20"/>
                <w:szCs w:val="20"/>
              </w:rPr>
              <w:t xml:space="preserve">Prioritet 2.2. Razvoj, unaprjeđenje i održavanje društvene infrastrukture, Mjera 2.2.2. Upravljanje imovinom u vlasništvu Općine te u </w:t>
            </w:r>
            <w:r w:rsidRPr="005D4AF4">
              <w:rPr>
                <w:rFonts w:ascii="Calibri" w:eastAsia="Calibri" w:hAnsi="Calibri" w:cs="Times New Roman"/>
                <w:sz w:val="20"/>
                <w:szCs w:val="20"/>
              </w:rPr>
              <w:t>Prioritet</w:t>
            </w:r>
            <w:r>
              <w:rPr>
                <w:rFonts w:ascii="Calibri" w:eastAsia="Calibri" w:hAnsi="Calibri" w:cs="Times New Roman"/>
                <w:sz w:val="20"/>
                <w:szCs w:val="20"/>
              </w:rPr>
              <w:t>u</w:t>
            </w:r>
            <w:r w:rsidRPr="005D4AF4">
              <w:rPr>
                <w:rFonts w:ascii="Calibri" w:eastAsia="Calibri" w:hAnsi="Calibri" w:cs="Times New Roman"/>
                <w:sz w:val="20"/>
                <w:szCs w:val="20"/>
              </w:rPr>
              <w:t xml:space="preserve"> 2.4.</w:t>
            </w:r>
            <w:r>
              <w:rPr>
                <w:rFonts w:ascii="Calibri" w:eastAsia="Calibri" w:hAnsi="Calibri" w:cs="Times New Roman"/>
                <w:sz w:val="20"/>
                <w:szCs w:val="20"/>
              </w:rPr>
              <w:t xml:space="preserve"> Razvoj, unaprjeđenje i održavanje energetske infrastrukture</w:t>
            </w:r>
            <w:r w:rsidRPr="005D4AF4">
              <w:rPr>
                <w:rFonts w:ascii="Calibri" w:eastAsia="Calibri" w:hAnsi="Calibri" w:cs="Times New Roman"/>
                <w:sz w:val="20"/>
                <w:szCs w:val="20"/>
              </w:rPr>
              <w:t xml:space="preserve">, Mjera 2.4.1. Podrška povećanju energetske učinkovitosti te primjeni zelenih energija i obnovljivih izvora energije. </w:t>
            </w:r>
            <w:r>
              <w:rPr>
                <w:rFonts w:ascii="Calibri" w:eastAsia="Calibri" w:hAnsi="Calibri" w:cs="Times New Roman"/>
                <w:sz w:val="20"/>
                <w:szCs w:val="20"/>
              </w:rPr>
              <w:t xml:space="preserve">Također je projekt Energetske obnove objekata u vlasništvu Općine Matulji naveden u popisu planiranih </w:t>
            </w:r>
            <w:r>
              <w:rPr>
                <w:rFonts w:ascii="Calibri" w:eastAsia="Calibri" w:hAnsi="Calibri" w:cs="Times New Roman"/>
                <w:sz w:val="20"/>
                <w:szCs w:val="20"/>
              </w:rPr>
              <w:lastRenderedPageBreak/>
              <w:t xml:space="preserve">razvojnih projekata Općine Matulji u Tablici 3. Razvojni projekti Općine Matulji u razdoblju od 2016. </w:t>
            </w:r>
            <w:proofErr w:type="gramStart"/>
            <w:r>
              <w:rPr>
                <w:rFonts w:ascii="Calibri" w:eastAsia="Calibri" w:hAnsi="Calibri" w:cs="Times New Roman"/>
                <w:sz w:val="20"/>
                <w:szCs w:val="20"/>
              </w:rPr>
              <w:t>do</w:t>
            </w:r>
            <w:proofErr w:type="gramEnd"/>
            <w:r>
              <w:rPr>
                <w:rFonts w:ascii="Calibri" w:eastAsia="Calibri" w:hAnsi="Calibri" w:cs="Times New Roman"/>
                <w:sz w:val="20"/>
                <w:szCs w:val="20"/>
              </w:rPr>
              <w:t xml:space="preserve"> 2020. </w:t>
            </w:r>
            <w:proofErr w:type="gramStart"/>
            <w:r>
              <w:rPr>
                <w:rFonts w:ascii="Calibri" w:eastAsia="Calibri" w:hAnsi="Calibri" w:cs="Times New Roman"/>
                <w:sz w:val="20"/>
                <w:szCs w:val="20"/>
              </w:rPr>
              <w:t>godine</w:t>
            </w:r>
            <w:proofErr w:type="gramEnd"/>
            <w:r>
              <w:rPr>
                <w:rFonts w:ascii="Calibri" w:eastAsia="Calibri" w:hAnsi="Calibri" w:cs="Times New Roman"/>
                <w:sz w:val="20"/>
                <w:szCs w:val="20"/>
              </w:rPr>
              <w:t xml:space="preserve"> pod rednim brojem 14. </w:t>
            </w:r>
            <w:proofErr w:type="gramStart"/>
            <w:r>
              <w:rPr>
                <w:rFonts w:ascii="Calibri" w:eastAsia="Calibri" w:hAnsi="Calibri" w:cs="Times New Roman"/>
                <w:sz w:val="20"/>
                <w:szCs w:val="20"/>
              </w:rPr>
              <w:t>kao</w:t>
            </w:r>
            <w:proofErr w:type="gramEnd"/>
            <w:r>
              <w:rPr>
                <w:rFonts w:ascii="Calibri" w:eastAsia="Calibri" w:hAnsi="Calibri" w:cs="Times New Roman"/>
                <w:sz w:val="20"/>
                <w:szCs w:val="20"/>
              </w:rPr>
              <w:t xml:space="preserve"> projekt u tijeku.</w:t>
            </w:r>
          </w:p>
        </w:tc>
      </w:tr>
      <w:tr w:rsidR="004C7FB0" w:rsidTr="004C7FB0">
        <w:tc>
          <w:tcPr>
            <w:tcW w:w="709" w:type="dxa"/>
            <w:vMerge/>
          </w:tcPr>
          <w:p w:rsidR="004C7FB0" w:rsidRDefault="004C7FB0" w:rsidP="00301BE2">
            <w:pPr>
              <w:jc w:val="both"/>
              <w:rPr>
                <w:rFonts w:ascii="Calibri" w:hAnsi="Calibri"/>
              </w:rPr>
            </w:pPr>
          </w:p>
        </w:tc>
        <w:tc>
          <w:tcPr>
            <w:tcW w:w="2268" w:type="dxa"/>
            <w:vMerge/>
          </w:tcPr>
          <w:p w:rsidR="004C7FB0" w:rsidRPr="00A55389" w:rsidRDefault="004C7FB0" w:rsidP="00301BE2">
            <w:pPr>
              <w:rPr>
                <w:rFonts w:ascii="Calibri" w:hAnsi="Calibri"/>
              </w:rPr>
            </w:pPr>
          </w:p>
        </w:tc>
        <w:tc>
          <w:tcPr>
            <w:tcW w:w="2126" w:type="dxa"/>
          </w:tcPr>
          <w:p w:rsidR="004C7FB0" w:rsidRPr="004E3E75" w:rsidRDefault="004C7FB0" w:rsidP="00301BE2">
            <w:pPr>
              <w:rPr>
                <w:sz w:val="20"/>
                <w:szCs w:val="20"/>
              </w:rPr>
            </w:pPr>
            <w:r>
              <w:rPr>
                <w:sz w:val="20"/>
                <w:szCs w:val="20"/>
              </w:rPr>
              <w:t>Očuvanje i zaštita kulturno-povijesne baštine</w:t>
            </w:r>
          </w:p>
        </w:tc>
        <w:tc>
          <w:tcPr>
            <w:tcW w:w="5670" w:type="dxa"/>
          </w:tcPr>
          <w:p w:rsidR="004C7FB0" w:rsidRPr="00A123C9" w:rsidRDefault="004C7FB0" w:rsidP="00301BE2">
            <w:pPr>
              <w:jc w:val="both"/>
              <w:rPr>
                <w:sz w:val="20"/>
                <w:szCs w:val="20"/>
              </w:rPr>
            </w:pPr>
            <w:r w:rsidRPr="00A123C9">
              <w:rPr>
                <w:rFonts w:ascii="Calibri" w:eastAsia="Calibri" w:hAnsi="Calibri" w:cs="Times New Roman"/>
                <w:sz w:val="20"/>
                <w:szCs w:val="20"/>
              </w:rPr>
              <w:t>Sanacija i uređenje kulturnog dobra – komunjske šterne u blizini školske zgrade i crkve</w:t>
            </w:r>
            <w:r w:rsidRPr="00A123C9">
              <w:rPr>
                <w:sz w:val="20"/>
                <w:szCs w:val="20"/>
              </w:rPr>
              <w:t xml:space="preserve"> - </w:t>
            </w:r>
            <w:r w:rsidRPr="00A123C9">
              <w:rPr>
                <w:rFonts w:ascii="Calibri" w:eastAsia="Calibri" w:hAnsi="Calibri" w:cs="Times New Roman"/>
                <w:sz w:val="20"/>
                <w:szCs w:val="20"/>
              </w:rPr>
              <w:t>Uvrštenje u program sanacije i uređenje kulturnog dobra – komunjske šterne po uzoru na ostale uređene šterne na području Općine Matulji</w:t>
            </w:r>
            <w:r w:rsidRPr="00A123C9">
              <w:rPr>
                <w:sz w:val="20"/>
                <w:szCs w:val="20"/>
              </w:rPr>
              <w:t xml:space="preserve"> </w:t>
            </w:r>
          </w:p>
          <w:p w:rsidR="004C7FB0" w:rsidRPr="00A123C9" w:rsidRDefault="004C7FB0" w:rsidP="00301BE2">
            <w:pPr>
              <w:jc w:val="both"/>
              <w:rPr>
                <w:sz w:val="20"/>
                <w:szCs w:val="20"/>
              </w:rPr>
            </w:pPr>
            <w:r w:rsidRPr="00A123C9">
              <w:rPr>
                <w:rFonts w:ascii="Calibri" w:eastAsia="Calibri" w:hAnsi="Calibri" w:cs="Times New Roman"/>
                <w:sz w:val="20"/>
                <w:szCs w:val="20"/>
              </w:rPr>
              <w:t xml:space="preserve">Smatramo kako je od interesa javnosti očuvanje kulturnih dobara, koja to zaista jesu. Komunjska šterna u Velom Brgudu je mjesto okupljanja mnogih generacija, kako dječje dobi za igru tako i starije dobi za druženje, te ista ima osim kulturne vrijednosti i veliku društvenu funkciju u „životu mjesta“. S obzirom da je ista poprilično dotrajala (izdignule su se ploče popločenja, stara pumpa-slavina je počupana i ukradena itd.), </w:t>
            </w:r>
            <w:proofErr w:type="gramStart"/>
            <w:r w:rsidRPr="00A123C9">
              <w:rPr>
                <w:rFonts w:ascii="Calibri" w:eastAsia="Calibri" w:hAnsi="Calibri" w:cs="Times New Roman"/>
                <w:sz w:val="20"/>
                <w:szCs w:val="20"/>
              </w:rPr>
              <w:t>a</w:t>
            </w:r>
            <w:proofErr w:type="gramEnd"/>
            <w:r w:rsidRPr="00A123C9">
              <w:rPr>
                <w:rFonts w:ascii="Calibri" w:eastAsia="Calibri" w:hAnsi="Calibri" w:cs="Times New Roman"/>
                <w:sz w:val="20"/>
                <w:szCs w:val="20"/>
              </w:rPr>
              <w:t xml:space="preserve"> ista zaista ima kako kulturnu vrijednost tako i svoju društvenu funkciju smatramo naš prijedlog opravdanim.</w:t>
            </w:r>
          </w:p>
        </w:tc>
        <w:tc>
          <w:tcPr>
            <w:tcW w:w="4423" w:type="dxa"/>
          </w:tcPr>
          <w:p w:rsidR="004C7FB0" w:rsidRDefault="004C7FB0" w:rsidP="00510927">
            <w:pPr>
              <w:jc w:val="both"/>
              <w:rPr>
                <w:color w:val="FF0000"/>
              </w:rPr>
            </w:pPr>
            <w:r w:rsidRPr="0071483F">
              <w:rPr>
                <w:rFonts w:ascii="Calibri" w:eastAsia="Calibri" w:hAnsi="Calibri" w:cs="TimesNewRomanPSMT"/>
                <w:color w:val="000000" w:themeColor="text1"/>
                <w:sz w:val="20"/>
                <w:szCs w:val="20"/>
                <w:lang w:val="hr-HR"/>
              </w:rPr>
              <w:t>Promocija,</w:t>
            </w:r>
            <w:r>
              <w:rPr>
                <w:rFonts w:ascii="Calibri" w:eastAsia="Calibri" w:hAnsi="Calibri" w:cs="TimesNewRomanPSMT"/>
                <w:sz w:val="20"/>
                <w:szCs w:val="20"/>
                <w:lang w:val="hr-HR"/>
              </w:rPr>
              <w:t xml:space="preserve"> očuvanje i zaštita kulturno - povijesne i etnološke baštine obuhvaćeni</w:t>
            </w:r>
            <w:r w:rsidR="0071483F">
              <w:rPr>
                <w:rFonts w:ascii="Calibri" w:eastAsia="Calibri" w:hAnsi="Calibri" w:cs="TimesNewRomanPSMT"/>
                <w:sz w:val="20"/>
                <w:szCs w:val="20"/>
                <w:lang w:val="hr-HR"/>
              </w:rPr>
              <w:t xml:space="preserve"> su</w:t>
            </w:r>
            <w:r>
              <w:rPr>
                <w:rFonts w:ascii="Calibri" w:eastAsia="Calibri" w:hAnsi="Calibri" w:cs="TimesNewRomanPSMT"/>
                <w:sz w:val="20"/>
                <w:szCs w:val="20"/>
                <w:lang w:val="hr-HR"/>
              </w:rPr>
              <w:t xml:space="preserve"> Strateškim ciljem 3. Unaprjeđenje životnog standarda stanovnika, u Prioritetu 3.1. Podrška kulturnim i sportskim programima te programima civilnog društva,  Mjera 3.1.5. Potpora promociji, očuvanju i zaštiti kuturno-povijesne i etnološke baštine u sklopu koje je kao jedna od aktivnosti navedena potpora promociji, očuvanju i zaštiti objekata od kulturno-povijesnog značaja. </w:t>
            </w:r>
            <w:r w:rsidRPr="0071483F">
              <w:rPr>
                <w:rFonts w:ascii="Calibri" w:eastAsia="Calibri" w:hAnsi="Calibri" w:cs="TimesNewRomanPSMT"/>
                <w:color w:val="000000" w:themeColor="text1"/>
                <w:sz w:val="20"/>
                <w:szCs w:val="20"/>
                <w:lang w:val="hr-HR"/>
              </w:rPr>
              <w:t>Pojedinačni projekti će se realizirati kroz navedene mjere, a prema prioritetima i u skladu s mogućnostima Općine.</w:t>
            </w:r>
          </w:p>
        </w:tc>
      </w:tr>
      <w:tr w:rsidR="004C7FB0" w:rsidTr="004C7FB0">
        <w:tc>
          <w:tcPr>
            <w:tcW w:w="709" w:type="dxa"/>
            <w:vMerge/>
          </w:tcPr>
          <w:p w:rsidR="004C7FB0" w:rsidRDefault="004C7FB0" w:rsidP="00301BE2">
            <w:pPr>
              <w:jc w:val="both"/>
              <w:rPr>
                <w:rFonts w:ascii="Calibri" w:hAnsi="Calibri"/>
              </w:rPr>
            </w:pPr>
          </w:p>
        </w:tc>
        <w:tc>
          <w:tcPr>
            <w:tcW w:w="2268" w:type="dxa"/>
            <w:vMerge/>
          </w:tcPr>
          <w:p w:rsidR="004C7FB0" w:rsidRPr="00A55389" w:rsidRDefault="004C7FB0" w:rsidP="00301BE2">
            <w:pPr>
              <w:rPr>
                <w:rFonts w:ascii="Calibri" w:hAnsi="Calibri"/>
              </w:rPr>
            </w:pPr>
          </w:p>
        </w:tc>
        <w:tc>
          <w:tcPr>
            <w:tcW w:w="2126" w:type="dxa"/>
          </w:tcPr>
          <w:p w:rsidR="004C7FB0" w:rsidRPr="004E3E75" w:rsidRDefault="004C7FB0" w:rsidP="00301BE2">
            <w:pPr>
              <w:rPr>
                <w:sz w:val="20"/>
                <w:szCs w:val="20"/>
              </w:rPr>
            </w:pPr>
            <w:r>
              <w:rPr>
                <w:sz w:val="20"/>
                <w:szCs w:val="20"/>
              </w:rPr>
              <w:t>Društvena infrastruktura</w:t>
            </w:r>
          </w:p>
        </w:tc>
        <w:tc>
          <w:tcPr>
            <w:tcW w:w="5670" w:type="dxa"/>
          </w:tcPr>
          <w:p w:rsidR="004C7FB0" w:rsidRPr="00F423EF" w:rsidRDefault="004C7FB0" w:rsidP="00301BE2">
            <w:pPr>
              <w:autoSpaceDE w:val="0"/>
              <w:autoSpaceDN w:val="0"/>
              <w:adjustRightInd w:val="0"/>
              <w:jc w:val="both"/>
              <w:rPr>
                <w:sz w:val="20"/>
                <w:szCs w:val="20"/>
              </w:rPr>
            </w:pPr>
            <w:r w:rsidRPr="00F423EF">
              <w:rPr>
                <w:rFonts w:ascii="Calibri" w:eastAsia="Calibri" w:hAnsi="Calibri" w:cs="Times New Roman"/>
                <w:sz w:val="20"/>
                <w:szCs w:val="20"/>
              </w:rPr>
              <w:t>Ishodovanje akata i izrada parkinga za potrebe groblja Veli Brgud</w:t>
            </w:r>
            <w:r>
              <w:rPr>
                <w:sz w:val="20"/>
                <w:szCs w:val="20"/>
              </w:rPr>
              <w:t xml:space="preserve">. </w:t>
            </w:r>
            <w:r w:rsidRPr="00F423EF">
              <w:rPr>
                <w:sz w:val="20"/>
                <w:szCs w:val="20"/>
              </w:rPr>
              <w:t xml:space="preserve"> </w:t>
            </w:r>
            <w:r w:rsidRPr="00F423EF">
              <w:rPr>
                <w:rFonts w:ascii="Calibri" w:eastAsia="Calibri" w:hAnsi="Calibri" w:cs="Times New Roman"/>
                <w:sz w:val="20"/>
                <w:szCs w:val="20"/>
              </w:rPr>
              <w:t>Uvrštenje u program</w:t>
            </w:r>
            <w:r>
              <w:rPr>
                <w:rFonts w:ascii="Calibri" w:eastAsia="Calibri" w:hAnsi="Calibri" w:cs="Times New Roman"/>
                <w:sz w:val="20"/>
                <w:szCs w:val="20"/>
              </w:rPr>
              <w:t>,</w:t>
            </w:r>
            <w:r w:rsidRPr="00F423EF">
              <w:rPr>
                <w:rFonts w:ascii="Calibri" w:eastAsia="Calibri" w:hAnsi="Calibri" w:cs="Times New Roman"/>
                <w:sz w:val="20"/>
                <w:szCs w:val="20"/>
              </w:rPr>
              <w:t xml:space="preserve"> ishodovanje svih potrebnih akata i dokumentacije, te uređenje parkinga za potrebe groblja Veli Brgud</w:t>
            </w:r>
          </w:p>
          <w:p w:rsidR="004C7FB0" w:rsidRPr="00F15484" w:rsidRDefault="004C7FB0" w:rsidP="00301BE2">
            <w:pPr>
              <w:autoSpaceDE w:val="0"/>
              <w:autoSpaceDN w:val="0"/>
              <w:adjustRightInd w:val="0"/>
              <w:jc w:val="both"/>
              <w:rPr>
                <w:rFonts w:cs="TimesNewRomanPSMT"/>
                <w:sz w:val="20"/>
                <w:szCs w:val="20"/>
                <w:lang w:val="hr-HR"/>
              </w:rPr>
            </w:pPr>
            <w:r w:rsidRPr="00F423EF">
              <w:rPr>
                <w:rFonts w:ascii="Calibri" w:eastAsia="Calibri" w:hAnsi="Calibri" w:cs="Times New Roman"/>
                <w:sz w:val="20"/>
                <w:szCs w:val="20"/>
              </w:rPr>
              <w:t>Prilikom ispraćaja pokojnika na mjesnom groblju Veli Brgud uvijek dolazi do prometnog začepljenja i otežanog prometovanja na županijskoj cesti Ž5015 i okolnim nerazvrstanim cestama, zbog nedovoljne površine za parkiranje vozila kod groblja te ista budu parkirana na navedenim cestama. S obzirom da kod groblja postoji površina zemljišta na kojem bi se mogla izgraditi površina za parkiranje, a problem koji navodimo je evidentan, smatramo naš prijedlog opravdanim.</w:t>
            </w:r>
          </w:p>
        </w:tc>
        <w:tc>
          <w:tcPr>
            <w:tcW w:w="4423" w:type="dxa"/>
          </w:tcPr>
          <w:p w:rsidR="00280B07" w:rsidRDefault="00816B3E" w:rsidP="00547C6F">
            <w:pPr>
              <w:jc w:val="both"/>
              <w:rPr>
                <w:color w:val="FF0000"/>
                <w:sz w:val="20"/>
                <w:szCs w:val="20"/>
              </w:rPr>
            </w:pPr>
            <w:r w:rsidRPr="00DA2DDC">
              <w:rPr>
                <w:rFonts w:ascii="Calibri" w:eastAsia="Calibri" w:hAnsi="Calibri" w:cs="TimesNewRomanPSMT"/>
                <w:sz w:val="20"/>
                <w:szCs w:val="20"/>
                <w:lang w:val="hr-HR"/>
              </w:rPr>
              <w:t>Strategija je dokument općenitog karaktera u kojem su sadržani prioriteti i mjere te preliminarni popis projekata za ostvarivanje strateških ciljeva usmjerenih prema društveno-gospodarskom razvoju Općine Matulji.</w:t>
            </w:r>
            <w:r>
              <w:rPr>
                <w:rFonts w:ascii="Calibri" w:eastAsia="Calibri" w:hAnsi="Calibri" w:cs="TimesNewRomanPSMT"/>
                <w:sz w:val="20"/>
                <w:szCs w:val="20"/>
                <w:lang w:val="hr-HR"/>
              </w:rPr>
              <w:t xml:space="preserve"> Budući se</w:t>
            </w:r>
            <w:r w:rsidRPr="00DA2DDC">
              <w:rPr>
                <w:rFonts w:ascii="Calibri" w:eastAsia="Calibri" w:hAnsi="Calibri" w:cs="TimesNewRomanPSMT"/>
                <w:sz w:val="20"/>
                <w:szCs w:val="20"/>
                <w:lang w:val="hr-HR"/>
              </w:rPr>
              <w:t xml:space="preserve">  radi o dokumentu koji definira opće smjernice razvoja Općine</w:t>
            </w:r>
            <w:r>
              <w:rPr>
                <w:rFonts w:ascii="Calibri" w:eastAsia="Calibri" w:hAnsi="Calibri" w:cs="TimesNewRomanPSMT"/>
                <w:sz w:val="20"/>
                <w:szCs w:val="20"/>
                <w:lang w:val="hr-HR"/>
              </w:rPr>
              <w:t xml:space="preserve">, izgradnja i održavanje svih vrsta društvene infrastrukture, pa tako i parkirališta obuhvaćeni su u Strateškom cilju 2.,  Prioritetu 2.2., Razvoj, unaprjeđenje i održavanje društvene infrastrukture, Mjeri 2.2.3. Izgradnja i održavanje društvene infrastrukture. Gradnja parkirališta također je obuhvaćena </w:t>
            </w:r>
            <w:r w:rsidR="004C7FB0">
              <w:rPr>
                <w:rFonts w:ascii="Calibri" w:eastAsia="Calibri" w:hAnsi="Calibri" w:cs="TimesNewRomanPSMT"/>
                <w:sz w:val="20"/>
                <w:szCs w:val="20"/>
                <w:lang w:val="hr-HR"/>
              </w:rPr>
              <w:t>Mjer</w:t>
            </w:r>
            <w:r>
              <w:rPr>
                <w:rFonts w:ascii="Calibri" w:eastAsia="Calibri" w:hAnsi="Calibri" w:cs="TimesNewRomanPSMT"/>
                <w:sz w:val="20"/>
                <w:szCs w:val="20"/>
                <w:lang w:val="hr-HR"/>
              </w:rPr>
              <w:t>om</w:t>
            </w:r>
            <w:r w:rsidR="004C7FB0">
              <w:rPr>
                <w:rFonts w:ascii="Calibri" w:eastAsia="Calibri" w:hAnsi="Calibri" w:cs="TimesNewRomanPSMT"/>
                <w:sz w:val="20"/>
                <w:szCs w:val="20"/>
                <w:lang w:val="hr-HR"/>
              </w:rPr>
              <w:t xml:space="preserve"> 2.2.1. Održivi razvoj urbanih i ruralnih područja</w:t>
            </w:r>
            <w:r>
              <w:rPr>
                <w:rFonts w:ascii="Calibri" w:eastAsia="Calibri" w:hAnsi="Calibri" w:cs="TimesNewRomanPSMT"/>
                <w:sz w:val="20"/>
                <w:szCs w:val="20"/>
                <w:lang w:val="hr-HR"/>
              </w:rPr>
              <w:t>.</w:t>
            </w:r>
            <w:r w:rsidR="004C7FB0">
              <w:rPr>
                <w:rFonts w:ascii="Calibri" w:eastAsia="Calibri" w:hAnsi="Calibri" w:cs="TimesNewRomanPSMT"/>
                <w:sz w:val="20"/>
                <w:szCs w:val="20"/>
                <w:lang w:val="hr-HR"/>
              </w:rPr>
              <w:t xml:space="preserve"> </w:t>
            </w:r>
          </w:p>
          <w:p w:rsidR="00280B07" w:rsidRPr="00510927" w:rsidRDefault="00280B07" w:rsidP="00280B07">
            <w:pPr>
              <w:jc w:val="both"/>
              <w:rPr>
                <w:color w:val="FF0000"/>
              </w:rPr>
            </w:pPr>
            <w:r w:rsidRPr="006D5BB2">
              <w:rPr>
                <w:rFonts w:ascii="Calibri" w:eastAsia="Calibri" w:hAnsi="Calibri" w:cs="Times New Roman"/>
                <w:color w:val="000000" w:themeColor="text1"/>
                <w:sz w:val="20"/>
                <w:szCs w:val="20"/>
              </w:rPr>
              <w:t xml:space="preserve">Projekti poput predloženog u okviru ovih mjera će biti naknadno planirani u skladu s prioritetima i </w:t>
            </w:r>
            <w:r w:rsidRPr="006D5BB2">
              <w:rPr>
                <w:rFonts w:ascii="Calibri" w:eastAsia="Calibri" w:hAnsi="Calibri" w:cs="Times New Roman"/>
                <w:color w:val="000000" w:themeColor="text1"/>
                <w:sz w:val="20"/>
                <w:szCs w:val="20"/>
              </w:rPr>
              <w:lastRenderedPageBreak/>
              <w:t>mogućnostima realizacije.</w:t>
            </w:r>
          </w:p>
        </w:tc>
      </w:tr>
      <w:tr w:rsidR="004C7FB0" w:rsidTr="004C7FB0">
        <w:tc>
          <w:tcPr>
            <w:tcW w:w="709" w:type="dxa"/>
            <w:vMerge/>
          </w:tcPr>
          <w:p w:rsidR="004C7FB0" w:rsidRDefault="004C7FB0" w:rsidP="00301BE2">
            <w:pPr>
              <w:jc w:val="both"/>
              <w:rPr>
                <w:rFonts w:ascii="Calibri" w:hAnsi="Calibri"/>
              </w:rPr>
            </w:pPr>
          </w:p>
        </w:tc>
        <w:tc>
          <w:tcPr>
            <w:tcW w:w="2268" w:type="dxa"/>
            <w:vMerge/>
          </w:tcPr>
          <w:p w:rsidR="004C7FB0" w:rsidRPr="00A55389" w:rsidRDefault="004C7FB0" w:rsidP="00301BE2">
            <w:pPr>
              <w:rPr>
                <w:rFonts w:ascii="Calibri" w:hAnsi="Calibri"/>
              </w:rPr>
            </w:pPr>
          </w:p>
        </w:tc>
        <w:tc>
          <w:tcPr>
            <w:tcW w:w="2126" w:type="dxa"/>
          </w:tcPr>
          <w:p w:rsidR="004C7FB0" w:rsidRPr="004E3E75" w:rsidRDefault="004C7FB0" w:rsidP="00301BE2">
            <w:pPr>
              <w:rPr>
                <w:sz w:val="20"/>
                <w:szCs w:val="20"/>
              </w:rPr>
            </w:pPr>
            <w:r>
              <w:rPr>
                <w:sz w:val="20"/>
                <w:szCs w:val="20"/>
              </w:rPr>
              <w:t>Društvena infrastruktura</w:t>
            </w:r>
          </w:p>
        </w:tc>
        <w:tc>
          <w:tcPr>
            <w:tcW w:w="5670" w:type="dxa"/>
          </w:tcPr>
          <w:p w:rsidR="004C7FB0" w:rsidRPr="00B43474" w:rsidRDefault="004C7FB0" w:rsidP="00301BE2">
            <w:pPr>
              <w:jc w:val="both"/>
              <w:rPr>
                <w:sz w:val="20"/>
                <w:szCs w:val="20"/>
              </w:rPr>
            </w:pPr>
            <w:r w:rsidRPr="00B43474">
              <w:rPr>
                <w:rFonts w:ascii="Calibri" w:eastAsia="Calibri" w:hAnsi="Calibri" w:cs="Times New Roman"/>
                <w:sz w:val="20"/>
                <w:szCs w:val="20"/>
              </w:rPr>
              <w:t>Ishodovanje potrebnih akata i proširenje groblja Veli Brgud</w:t>
            </w:r>
            <w:r w:rsidRPr="00B43474">
              <w:rPr>
                <w:sz w:val="20"/>
                <w:szCs w:val="20"/>
              </w:rPr>
              <w:t xml:space="preserve"> - </w:t>
            </w:r>
            <w:r w:rsidRPr="00B43474">
              <w:rPr>
                <w:rFonts w:ascii="Calibri" w:eastAsia="Calibri" w:hAnsi="Calibri" w:cs="Times New Roman"/>
                <w:sz w:val="20"/>
                <w:szCs w:val="20"/>
              </w:rPr>
              <w:t>Iako smo vidjeli da je u programu navedeno i predviđeno proširenje groblja u stavci zajedno s ostalim grobljima na odručju Općine Matulji, smatramo da uvrštenje u program proširenje mjesnog groblja Veli Brgud jednim od gorućih problema u mjestu te bi istom trebalo prioritetno pristupiti.</w:t>
            </w:r>
          </w:p>
          <w:p w:rsidR="004C7FB0" w:rsidRPr="00B43474" w:rsidRDefault="004C7FB0" w:rsidP="00301BE2">
            <w:pPr>
              <w:jc w:val="both"/>
            </w:pPr>
            <w:r w:rsidRPr="00B43474">
              <w:rPr>
                <w:rFonts w:ascii="Calibri" w:eastAsia="Calibri" w:hAnsi="Calibri" w:cs="Times New Roman"/>
                <w:sz w:val="20"/>
                <w:szCs w:val="20"/>
              </w:rPr>
              <w:t>Iako smo vidjeli da je u programu navedeno i predviđeno proširenje groblja u stavci zajedno s ostalim grobljima na odručju Općine Matulji, smatramo uvrštenje u program proširenje mjesnog groblja Veli Brgud jednim od gorućih problema u mjestu, te bi istom trebalo pristupiti prioritetno, zbog već sada nedovoljno ukopnih mjesta što će zasigurno biti veliki problem unutar perioda za koji se slaže strategija razvoja. Potrebe površine za ukop na groblju Veli Brgud su sve veće što će zasigurno u kratkom vremenskom periodu dovesti do problema nemogućnosti novih ukopa. Zbog gore navedenog smatramo naš prijedlog opravdanim.</w:t>
            </w:r>
            <w:r w:rsidRPr="00C50D8E">
              <w:rPr>
                <w:rFonts w:ascii="Calibri" w:eastAsia="Calibri" w:hAnsi="Calibri" w:cs="Times New Roman"/>
              </w:rPr>
              <w:t xml:space="preserve"> </w:t>
            </w:r>
          </w:p>
        </w:tc>
        <w:tc>
          <w:tcPr>
            <w:tcW w:w="4423" w:type="dxa"/>
          </w:tcPr>
          <w:p w:rsidR="004C7FB0" w:rsidRDefault="004C7FB0" w:rsidP="00547C6F">
            <w:pPr>
              <w:jc w:val="both"/>
              <w:rPr>
                <w:rFonts w:ascii="Calibri" w:eastAsia="Calibri" w:hAnsi="Calibri" w:cs="Times New Roman"/>
                <w:sz w:val="20"/>
                <w:szCs w:val="20"/>
              </w:rPr>
            </w:pPr>
            <w:r>
              <w:rPr>
                <w:sz w:val="20"/>
                <w:szCs w:val="20"/>
              </w:rPr>
              <w:t>Projekt i</w:t>
            </w:r>
            <w:r>
              <w:rPr>
                <w:rFonts w:ascii="Calibri" w:eastAsia="Calibri" w:hAnsi="Calibri" w:cs="TimesNewRomanPSMT"/>
                <w:sz w:val="20"/>
                <w:szCs w:val="20"/>
                <w:lang w:val="hr-HR"/>
              </w:rPr>
              <w:t>zgradnje i proširenja groblja na području Općine Matulji obuhvaćen je u Strateškom cilju 2.</w:t>
            </w:r>
            <w:proofErr w:type="gramStart"/>
            <w:r>
              <w:rPr>
                <w:rFonts w:ascii="Calibri" w:eastAsia="Calibri" w:hAnsi="Calibri" w:cs="TimesNewRomanPSMT"/>
                <w:sz w:val="20"/>
                <w:szCs w:val="20"/>
                <w:lang w:val="hr-HR"/>
              </w:rPr>
              <w:t>,  Prioritetu</w:t>
            </w:r>
            <w:proofErr w:type="gramEnd"/>
            <w:r>
              <w:rPr>
                <w:rFonts w:ascii="Calibri" w:eastAsia="Calibri" w:hAnsi="Calibri" w:cs="TimesNewRomanPSMT"/>
                <w:sz w:val="20"/>
                <w:szCs w:val="20"/>
                <w:lang w:val="hr-HR"/>
              </w:rPr>
              <w:t xml:space="preserve"> 2.2., Mjeri 2.2.3. Izgradnja i održavanje društvene infrastrukture. </w:t>
            </w:r>
            <w:r>
              <w:rPr>
                <w:rFonts w:ascii="Calibri" w:eastAsia="Calibri" w:hAnsi="Calibri" w:cs="Times New Roman"/>
                <w:sz w:val="20"/>
                <w:szCs w:val="20"/>
              </w:rPr>
              <w:t xml:space="preserve">Također je projekt Izgradnje i proširenja groblja (Brgud, Mune, Brešca, Zvoneća, Rupa) naveden u popisu planiranih razvojnih projekata Općine Matulji u Tablici 3. Razvojni projekti Općine Matulji u razdoblju od 2016. </w:t>
            </w:r>
            <w:proofErr w:type="gramStart"/>
            <w:r>
              <w:rPr>
                <w:rFonts w:ascii="Calibri" w:eastAsia="Calibri" w:hAnsi="Calibri" w:cs="Times New Roman"/>
                <w:sz w:val="20"/>
                <w:szCs w:val="20"/>
              </w:rPr>
              <w:t>do</w:t>
            </w:r>
            <w:proofErr w:type="gramEnd"/>
            <w:r>
              <w:rPr>
                <w:rFonts w:ascii="Calibri" w:eastAsia="Calibri" w:hAnsi="Calibri" w:cs="Times New Roman"/>
                <w:sz w:val="20"/>
                <w:szCs w:val="20"/>
              </w:rPr>
              <w:t xml:space="preserve"> 2020. </w:t>
            </w:r>
            <w:proofErr w:type="gramStart"/>
            <w:r>
              <w:rPr>
                <w:rFonts w:ascii="Calibri" w:eastAsia="Calibri" w:hAnsi="Calibri" w:cs="Times New Roman"/>
                <w:sz w:val="20"/>
                <w:szCs w:val="20"/>
              </w:rPr>
              <w:t>godine</w:t>
            </w:r>
            <w:proofErr w:type="gramEnd"/>
            <w:r>
              <w:rPr>
                <w:rFonts w:ascii="Calibri" w:eastAsia="Calibri" w:hAnsi="Calibri" w:cs="Times New Roman"/>
                <w:sz w:val="20"/>
                <w:szCs w:val="20"/>
              </w:rPr>
              <w:t xml:space="preserve"> pod rednim brojem 23. </w:t>
            </w:r>
            <w:proofErr w:type="gramStart"/>
            <w:r>
              <w:rPr>
                <w:rFonts w:ascii="Calibri" w:eastAsia="Calibri" w:hAnsi="Calibri" w:cs="Times New Roman"/>
                <w:sz w:val="20"/>
                <w:szCs w:val="20"/>
              </w:rPr>
              <w:t>kao</w:t>
            </w:r>
            <w:proofErr w:type="gramEnd"/>
            <w:r>
              <w:rPr>
                <w:rFonts w:ascii="Calibri" w:eastAsia="Calibri" w:hAnsi="Calibri" w:cs="Times New Roman"/>
                <w:sz w:val="20"/>
                <w:szCs w:val="20"/>
              </w:rPr>
              <w:t xml:space="preserve"> projekt čija je priprema u tijeku.</w:t>
            </w:r>
          </w:p>
          <w:p w:rsidR="004C7FB0" w:rsidRDefault="004C7FB0" w:rsidP="00301BE2">
            <w:pPr>
              <w:jc w:val="both"/>
              <w:rPr>
                <w:color w:val="FF0000"/>
              </w:rPr>
            </w:pPr>
          </w:p>
        </w:tc>
      </w:tr>
      <w:tr w:rsidR="004C7FB0" w:rsidTr="004C7FB0">
        <w:tc>
          <w:tcPr>
            <w:tcW w:w="709" w:type="dxa"/>
            <w:vMerge/>
          </w:tcPr>
          <w:p w:rsidR="004C7FB0" w:rsidRDefault="004C7FB0" w:rsidP="00301BE2">
            <w:pPr>
              <w:jc w:val="both"/>
              <w:rPr>
                <w:rFonts w:ascii="Calibri" w:hAnsi="Calibri"/>
              </w:rPr>
            </w:pPr>
          </w:p>
        </w:tc>
        <w:tc>
          <w:tcPr>
            <w:tcW w:w="2268" w:type="dxa"/>
            <w:vMerge/>
          </w:tcPr>
          <w:p w:rsidR="004C7FB0" w:rsidRPr="00A55389" w:rsidRDefault="004C7FB0" w:rsidP="00301BE2">
            <w:pPr>
              <w:rPr>
                <w:rFonts w:ascii="Calibri" w:hAnsi="Calibri"/>
              </w:rPr>
            </w:pPr>
          </w:p>
        </w:tc>
        <w:tc>
          <w:tcPr>
            <w:tcW w:w="2126" w:type="dxa"/>
          </w:tcPr>
          <w:p w:rsidR="004C7FB0" w:rsidRPr="004E3E75" w:rsidRDefault="004C7FB0" w:rsidP="00301BE2">
            <w:pPr>
              <w:rPr>
                <w:sz w:val="20"/>
                <w:szCs w:val="20"/>
              </w:rPr>
            </w:pPr>
            <w:r>
              <w:rPr>
                <w:sz w:val="20"/>
                <w:szCs w:val="20"/>
              </w:rPr>
              <w:t>Prostorni plan uređenja</w:t>
            </w:r>
          </w:p>
        </w:tc>
        <w:tc>
          <w:tcPr>
            <w:tcW w:w="5670" w:type="dxa"/>
          </w:tcPr>
          <w:p w:rsidR="004C7FB0" w:rsidRPr="00190D8D" w:rsidRDefault="004C7FB0" w:rsidP="00301BE2">
            <w:pPr>
              <w:jc w:val="both"/>
              <w:rPr>
                <w:sz w:val="20"/>
                <w:szCs w:val="20"/>
              </w:rPr>
            </w:pPr>
            <w:r w:rsidRPr="00190D8D">
              <w:rPr>
                <w:rFonts w:ascii="Calibri" w:eastAsia="Calibri" w:hAnsi="Calibri" w:cs="Times New Roman"/>
                <w:sz w:val="20"/>
                <w:szCs w:val="20"/>
              </w:rPr>
              <w:t>Izmjena prostorno planske dokumentacije</w:t>
            </w:r>
            <w:r w:rsidRPr="00190D8D">
              <w:rPr>
                <w:sz w:val="20"/>
                <w:szCs w:val="20"/>
              </w:rPr>
              <w:t xml:space="preserve"> - </w:t>
            </w:r>
            <w:r w:rsidRPr="00190D8D">
              <w:rPr>
                <w:rFonts w:ascii="Calibri" w:eastAsia="Calibri" w:hAnsi="Calibri" w:cs="Times New Roman"/>
                <w:sz w:val="20"/>
                <w:szCs w:val="20"/>
              </w:rPr>
              <w:t>Uvrštenje u program izmjena ili izrada nove prostorno planske dokumentacije u suradnji s Konzervatorskim odjelom u Rijeci, u smislu da se  konzervatorska zaštićenost kao cijela zona u naselju Veli Brgud ukine, te se konzervatorski zaštite samo pojedinačno objekti koji to zaista jesu</w:t>
            </w:r>
          </w:p>
          <w:p w:rsidR="004C7FB0" w:rsidRPr="00190D8D" w:rsidRDefault="004C7FB0" w:rsidP="00301BE2">
            <w:pPr>
              <w:jc w:val="both"/>
            </w:pPr>
            <w:r w:rsidRPr="00190D8D">
              <w:rPr>
                <w:rFonts w:ascii="Calibri" w:eastAsia="Calibri" w:hAnsi="Calibri" w:cs="Times New Roman"/>
                <w:sz w:val="20"/>
                <w:szCs w:val="20"/>
              </w:rPr>
              <w:t xml:space="preserve">Svi stanovnici Velog Brguda koji žive u području sela koji je pod konzervatorskom zaštitom nailaze na problem prilikom želje za uređenjem svojih kuća. Naime konzervatorski uvjeti ne dozvoljavaju upotrebu novih i suvremenih materijala već samo klasične koji odgovaraju kriterijima koje konzervatori postavljaju što uvelike otežava ili čak i nedozvoljava vlasnicima realizaciju bilo kakvih radnji na svojim građevinama. Naime, veća površina područja sela je pod konzervatorskom zaštitom iako u toj zoni ima većina objekata koji nemaju nikakvu onzervatorsku i kulturnu vrijednost, čime bi njihova zaštićenost bila zaista opravdana. Naš prijedlog je da se napravi analiza postojećih objekata te da se konzervatorski zaštite samo pojedninačna kulturna dobra koja to zaista jesu, a na ostalim objektima da se dozvole zahvati koji bi bili u skladu sa urbanističkim uvjetima naselja Veli Brgud na tom području mjesta. Svakako nismo da se dozvoli izgradnja ili dogradnja objekata trokatnica, poslovnih hala i sl., ali smatramo da </w:t>
            </w:r>
            <w:r w:rsidRPr="00190D8D">
              <w:rPr>
                <w:rFonts w:ascii="Calibri" w:eastAsia="Calibri" w:hAnsi="Calibri" w:cs="Times New Roman"/>
                <w:sz w:val="20"/>
                <w:szCs w:val="20"/>
              </w:rPr>
              <w:lastRenderedPageBreak/>
              <w:t xml:space="preserve">npr. </w:t>
            </w:r>
            <w:proofErr w:type="gramStart"/>
            <w:r w:rsidRPr="00190D8D">
              <w:rPr>
                <w:rFonts w:ascii="Calibri" w:eastAsia="Calibri" w:hAnsi="Calibri" w:cs="Times New Roman"/>
                <w:sz w:val="20"/>
                <w:szCs w:val="20"/>
              </w:rPr>
              <w:t>upotreba</w:t>
            </w:r>
            <w:proofErr w:type="gramEnd"/>
            <w:r w:rsidRPr="00190D8D">
              <w:rPr>
                <w:rFonts w:ascii="Calibri" w:eastAsia="Calibri" w:hAnsi="Calibri" w:cs="Times New Roman"/>
                <w:sz w:val="20"/>
                <w:szCs w:val="20"/>
              </w:rPr>
              <w:t xml:space="preserve"> suvremenih materijala za poboljšanje energetskih svojstva postojećih građevina i sl. na objektima koji nemaju kulturnu vrijednost, vlasnicima tih objekata nebi trebala biti onemogućena. Iz navedenog smatramo naš prijedlog opravdanim.</w:t>
            </w:r>
          </w:p>
        </w:tc>
        <w:tc>
          <w:tcPr>
            <w:tcW w:w="4423" w:type="dxa"/>
          </w:tcPr>
          <w:p w:rsidR="004C7FB0" w:rsidRDefault="004C7FB0" w:rsidP="00301BE2">
            <w:pPr>
              <w:jc w:val="both"/>
              <w:rPr>
                <w:color w:val="FF0000"/>
              </w:rPr>
            </w:pPr>
            <w:r w:rsidRPr="009344F2">
              <w:rPr>
                <w:rFonts w:ascii="Calibri" w:eastAsia="Calibri" w:hAnsi="Calibri" w:cs="Times New Roman"/>
                <w:sz w:val="20"/>
                <w:szCs w:val="20"/>
              </w:rPr>
              <w:lastRenderedPageBreak/>
              <w:t>Ukidanje, smanjivanje opsega ili pak utvrđivanje konzervatorske zaštite za pojedine lokalitete predmet je Prostornog plana uređenja Općine u sklopu čije izrade je moguće izvršiti reviziju kulturne baštine</w:t>
            </w:r>
            <w:r>
              <w:rPr>
                <w:rFonts w:ascii="Calibri" w:eastAsia="Calibri" w:hAnsi="Calibri" w:cs="Times New Roman"/>
                <w:sz w:val="20"/>
                <w:szCs w:val="20"/>
              </w:rPr>
              <w:t>, a time i</w:t>
            </w:r>
            <w:r w:rsidRPr="009344F2">
              <w:rPr>
                <w:rFonts w:ascii="Calibri" w:eastAsia="Calibri" w:hAnsi="Calibri" w:cs="Times New Roman"/>
                <w:sz w:val="20"/>
                <w:szCs w:val="20"/>
              </w:rPr>
              <w:t xml:space="preserve"> opseg konzervatorske zaštite.</w:t>
            </w:r>
            <w:r>
              <w:rPr>
                <w:rFonts w:ascii="Calibri" w:eastAsia="Calibri" w:hAnsi="Calibri" w:cs="Times New Roman"/>
                <w:sz w:val="20"/>
                <w:szCs w:val="20"/>
              </w:rPr>
              <w:t xml:space="preserve"> </w:t>
            </w:r>
            <w:r w:rsidRPr="009344F2">
              <w:rPr>
                <w:rFonts w:ascii="Calibri" w:eastAsia="Calibri" w:hAnsi="Calibri" w:cs="Times New Roman"/>
                <w:sz w:val="20"/>
                <w:szCs w:val="20"/>
              </w:rPr>
              <w:t>Isto</w:t>
            </w:r>
            <w:r>
              <w:rPr>
                <w:rFonts w:ascii="Calibri" w:eastAsia="Calibri" w:hAnsi="Calibri" w:cs="Times New Roman"/>
                <w:sz w:val="20"/>
                <w:szCs w:val="20"/>
              </w:rPr>
              <w:t xml:space="preserve"> tako predloženi zahvati u pros</w:t>
            </w:r>
            <w:r w:rsidRPr="009344F2">
              <w:rPr>
                <w:rFonts w:ascii="Calibri" w:eastAsia="Calibri" w:hAnsi="Calibri" w:cs="Times New Roman"/>
                <w:sz w:val="20"/>
                <w:szCs w:val="20"/>
              </w:rPr>
              <w:t xml:space="preserve">toru u smislu gabarita građevina nisu predmetom ovog </w:t>
            </w:r>
            <w:r>
              <w:rPr>
                <w:rFonts w:ascii="Calibri" w:eastAsia="Calibri" w:hAnsi="Calibri" w:cs="Times New Roman"/>
                <w:sz w:val="20"/>
                <w:szCs w:val="20"/>
              </w:rPr>
              <w:t xml:space="preserve">Strateškog </w:t>
            </w:r>
            <w:r w:rsidRPr="009344F2">
              <w:rPr>
                <w:rFonts w:ascii="Calibri" w:eastAsia="Calibri" w:hAnsi="Calibri" w:cs="Times New Roman"/>
                <w:sz w:val="20"/>
                <w:szCs w:val="20"/>
              </w:rPr>
              <w:t>razvojnog programa, već odredbi za provođenje Prostornog plana.</w:t>
            </w:r>
          </w:p>
        </w:tc>
      </w:tr>
      <w:tr w:rsidR="004C7FB0" w:rsidTr="004C7FB0">
        <w:tc>
          <w:tcPr>
            <w:tcW w:w="709" w:type="dxa"/>
            <w:vMerge/>
          </w:tcPr>
          <w:p w:rsidR="004C7FB0" w:rsidRDefault="004C7FB0" w:rsidP="00301BE2">
            <w:pPr>
              <w:jc w:val="both"/>
              <w:rPr>
                <w:rFonts w:ascii="Calibri" w:hAnsi="Calibri"/>
              </w:rPr>
            </w:pPr>
          </w:p>
        </w:tc>
        <w:tc>
          <w:tcPr>
            <w:tcW w:w="2268" w:type="dxa"/>
            <w:vMerge/>
          </w:tcPr>
          <w:p w:rsidR="004C7FB0" w:rsidRPr="00A55389" w:rsidRDefault="004C7FB0" w:rsidP="00301BE2">
            <w:pPr>
              <w:rPr>
                <w:rFonts w:ascii="Calibri" w:hAnsi="Calibri"/>
              </w:rPr>
            </w:pPr>
          </w:p>
        </w:tc>
        <w:tc>
          <w:tcPr>
            <w:tcW w:w="2126" w:type="dxa"/>
          </w:tcPr>
          <w:p w:rsidR="004C7FB0" w:rsidRPr="004E3E75" w:rsidRDefault="004C7FB0" w:rsidP="00301BE2">
            <w:pPr>
              <w:rPr>
                <w:sz w:val="20"/>
                <w:szCs w:val="20"/>
              </w:rPr>
            </w:pPr>
            <w:r>
              <w:rPr>
                <w:sz w:val="20"/>
                <w:szCs w:val="20"/>
              </w:rPr>
              <w:t>Energetska infrastruktura</w:t>
            </w:r>
          </w:p>
        </w:tc>
        <w:tc>
          <w:tcPr>
            <w:tcW w:w="5670" w:type="dxa"/>
          </w:tcPr>
          <w:p w:rsidR="004C7FB0" w:rsidRPr="000B3646" w:rsidRDefault="004C7FB0" w:rsidP="00301BE2">
            <w:pPr>
              <w:jc w:val="both"/>
              <w:rPr>
                <w:sz w:val="20"/>
                <w:szCs w:val="20"/>
              </w:rPr>
            </w:pPr>
            <w:r w:rsidRPr="000B3646">
              <w:rPr>
                <w:rFonts w:ascii="Calibri" w:eastAsia="Calibri" w:hAnsi="Calibri" w:cs="Times New Roman"/>
                <w:sz w:val="20"/>
                <w:szCs w:val="20"/>
              </w:rPr>
              <w:t>Proširenje javne rasvjete</w:t>
            </w:r>
            <w:r w:rsidRPr="000B3646">
              <w:rPr>
                <w:sz w:val="20"/>
                <w:szCs w:val="20"/>
              </w:rPr>
              <w:t xml:space="preserve"> - </w:t>
            </w:r>
            <w:r w:rsidRPr="000B3646">
              <w:rPr>
                <w:rFonts w:ascii="Calibri" w:eastAsia="Calibri" w:hAnsi="Calibri" w:cs="Times New Roman"/>
                <w:sz w:val="20"/>
                <w:szCs w:val="20"/>
              </w:rPr>
              <w:t>Prijedlog za uvrštenje u program proširenje javne rasvjete na dionicama na kojima su se dogradili novi objekti, te na dionicama na kojima su rasvjetna tijela na velikim udaljenostima te su ulice u mraku</w:t>
            </w:r>
            <w:r w:rsidRPr="000B3646">
              <w:rPr>
                <w:sz w:val="20"/>
                <w:szCs w:val="20"/>
              </w:rPr>
              <w:t>.</w:t>
            </w:r>
          </w:p>
          <w:p w:rsidR="004C7FB0" w:rsidRPr="000B3646" w:rsidRDefault="004C7FB0" w:rsidP="00301BE2">
            <w:pPr>
              <w:jc w:val="both"/>
              <w:rPr>
                <w:sz w:val="20"/>
                <w:szCs w:val="20"/>
              </w:rPr>
            </w:pPr>
            <w:r w:rsidRPr="000B3646">
              <w:rPr>
                <w:rFonts w:ascii="Calibri" w:eastAsia="Calibri" w:hAnsi="Calibri" w:cs="Times New Roman"/>
                <w:sz w:val="20"/>
                <w:szCs w:val="20"/>
              </w:rPr>
              <w:t>Kako se u naselju zadnjih godina izgradilo više stambenih objekata, na cestama koje vode do istih bilo bi potrebno proširiti tj. Postaviti dodatnu javnu rasvjetu. Također nekoliko dionica ceste u naselju su noći potpuno u mraku te bi bilo potrebno postaviti nova rasvjetna tijela na tim dionicama.</w:t>
            </w:r>
          </w:p>
        </w:tc>
        <w:tc>
          <w:tcPr>
            <w:tcW w:w="4423" w:type="dxa"/>
          </w:tcPr>
          <w:p w:rsidR="004C7FB0" w:rsidRDefault="004C7FB0" w:rsidP="008B16A9">
            <w:pPr>
              <w:jc w:val="both"/>
              <w:rPr>
                <w:color w:val="FF0000"/>
              </w:rPr>
            </w:pPr>
            <w:r>
              <w:rPr>
                <w:rFonts w:ascii="Calibri" w:eastAsia="Calibri" w:hAnsi="Calibri" w:cs="Times New Roman"/>
                <w:sz w:val="20"/>
                <w:szCs w:val="20"/>
              </w:rPr>
              <w:t>Projekt modernizacije javne rasvjete</w:t>
            </w:r>
            <w:r w:rsidRPr="005D4AF4">
              <w:rPr>
                <w:rFonts w:ascii="Calibri" w:eastAsia="Calibri" w:hAnsi="Calibri" w:cs="Times New Roman"/>
                <w:sz w:val="20"/>
                <w:szCs w:val="20"/>
              </w:rPr>
              <w:t xml:space="preserve"> na području Općine M</w:t>
            </w:r>
            <w:r>
              <w:rPr>
                <w:rFonts w:ascii="Calibri" w:eastAsia="Calibri" w:hAnsi="Calibri" w:cs="Times New Roman"/>
                <w:sz w:val="20"/>
                <w:szCs w:val="20"/>
              </w:rPr>
              <w:t>atulji sadržan je u</w:t>
            </w:r>
            <w:r w:rsidRPr="005D4AF4">
              <w:rPr>
                <w:rFonts w:ascii="Calibri" w:eastAsia="Calibri" w:hAnsi="Calibri" w:cs="Times New Roman"/>
                <w:sz w:val="20"/>
                <w:szCs w:val="20"/>
              </w:rPr>
              <w:t xml:space="preserve"> Strateškom cilju </w:t>
            </w:r>
            <w:proofErr w:type="gramStart"/>
            <w:r w:rsidRPr="005D4AF4">
              <w:rPr>
                <w:rFonts w:ascii="Calibri" w:eastAsia="Calibri" w:hAnsi="Calibri" w:cs="Times New Roman"/>
                <w:sz w:val="20"/>
                <w:szCs w:val="20"/>
              </w:rPr>
              <w:t>2.,</w:t>
            </w:r>
            <w:proofErr w:type="gramEnd"/>
            <w:r w:rsidRPr="005D4AF4">
              <w:rPr>
                <w:rFonts w:ascii="Calibri" w:eastAsia="Calibri" w:hAnsi="Calibri" w:cs="Times New Roman"/>
                <w:sz w:val="20"/>
                <w:szCs w:val="20"/>
              </w:rPr>
              <w:t xml:space="preserve"> </w:t>
            </w:r>
            <w:r>
              <w:rPr>
                <w:rFonts w:ascii="Calibri" w:eastAsia="Calibri" w:hAnsi="Calibri" w:cs="Times New Roman"/>
                <w:sz w:val="20"/>
                <w:szCs w:val="20"/>
              </w:rPr>
              <w:t xml:space="preserve">Prioritet 2.2. Razvoj, unaprjeđenje i održavanje društvene infrastrukture, Mjera 2.2.2. Upravljanje imovinom u vlasništvu Općine te u </w:t>
            </w:r>
            <w:r w:rsidRPr="005D4AF4">
              <w:rPr>
                <w:rFonts w:ascii="Calibri" w:eastAsia="Calibri" w:hAnsi="Calibri" w:cs="Times New Roman"/>
                <w:sz w:val="20"/>
                <w:szCs w:val="20"/>
              </w:rPr>
              <w:t>Prioritet</w:t>
            </w:r>
            <w:r>
              <w:rPr>
                <w:rFonts w:ascii="Calibri" w:eastAsia="Calibri" w:hAnsi="Calibri" w:cs="Times New Roman"/>
                <w:sz w:val="20"/>
                <w:szCs w:val="20"/>
              </w:rPr>
              <w:t>u</w:t>
            </w:r>
            <w:r w:rsidRPr="005D4AF4">
              <w:rPr>
                <w:rFonts w:ascii="Calibri" w:eastAsia="Calibri" w:hAnsi="Calibri" w:cs="Times New Roman"/>
                <w:sz w:val="20"/>
                <w:szCs w:val="20"/>
              </w:rPr>
              <w:t xml:space="preserve"> 2.4.</w:t>
            </w:r>
            <w:r>
              <w:rPr>
                <w:rFonts w:ascii="Calibri" w:eastAsia="Calibri" w:hAnsi="Calibri" w:cs="Times New Roman"/>
                <w:sz w:val="20"/>
                <w:szCs w:val="20"/>
              </w:rPr>
              <w:t xml:space="preserve"> Razvoj, unaprjeđenje i održavanje energetske infrastrukture</w:t>
            </w:r>
            <w:r w:rsidRPr="005D4AF4">
              <w:rPr>
                <w:rFonts w:ascii="Calibri" w:eastAsia="Calibri" w:hAnsi="Calibri" w:cs="Times New Roman"/>
                <w:sz w:val="20"/>
                <w:szCs w:val="20"/>
              </w:rPr>
              <w:t>, Mjera 2.4.1. Podrška povećanju energetske učinkovitosti te primjeni zelenih energij</w:t>
            </w:r>
            <w:r>
              <w:rPr>
                <w:rFonts w:ascii="Calibri" w:eastAsia="Calibri" w:hAnsi="Calibri" w:cs="Times New Roman"/>
                <w:sz w:val="20"/>
                <w:szCs w:val="20"/>
              </w:rPr>
              <w:t>a i obnovljivih izvora energije te Mjeri 2.4.2. Podrška projektu izgradnje i održavanja energetske mreže.</w:t>
            </w:r>
            <w:r w:rsidRPr="005D4AF4">
              <w:rPr>
                <w:rFonts w:ascii="Calibri" w:eastAsia="Calibri" w:hAnsi="Calibri" w:cs="Times New Roman"/>
                <w:sz w:val="20"/>
                <w:szCs w:val="20"/>
              </w:rPr>
              <w:t xml:space="preserve"> </w:t>
            </w:r>
            <w:r>
              <w:rPr>
                <w:rFonts w:ascii="Calibri" w:eastAsia="Calibri" w:hAnsi="Calibri" w:cs="Times New Roman"/>
                <w:sz w:val="20"/>
                <w:szCs w:val="20"/>
              </w:rPr>
              <w:t xml:space="preserve">Također je projekt Modernizacije javne rasvjete naveden u popisu planiranih razvojnih projekata Općine Matulji u Tablici 3. Razvojni projekti Općine Matulji u razdoblju od 2016. </w:t>
            </w:r>
            <w:proofErr w:type="gramStart"/>
            <w:r>
              <w:rPr>
                <w:rFonts w:ascii="Calibri" w:eastAsia="Calibri" w:hAnsi="Calibri" w:cs="Times New Roman"/>
                <w:sz w:val="20"/>
                <w:szCs w:val="20"/>
              </w:rPr>
              <w:t>do</w:t>
            </w:r>
            <w:proofErr w:type="gramEnd"/>
            <w:r>
              <w:rPr>
                <w:rFonts w:ascii="Calibri" w:eastAsia="Calibri" w:hAnsi="Calibri" w:cs="Times New Roman"/>
                <w:sz w:val="20"/>
                <w:szCs w:val="20"/>
              </w:rPr>
              <w:t xml:space="preserve"> 2020. </w:t>
            </w:r>
            <w:proofErr w:type="gramStart"/>
            <w:r>
              <w:rPr>
                <w:rFonts w:ascii="Calibri" w:eastAsia="Calibri" w:hAnsi="Calibri" w:cs="Times New Roman"/>
                <w:sz w:val="20"/>
                <w:szCs w:val="20"/>
              </w:rPr>
              <w:t>godine</w:t>
            </w:r>
            <w:proofErr w:type="gramEnd"/>
            <w:r>
              <w:rPr>
                <w:rFonts w:ascii="Calibri" w:eastAsia="Calibri" w:hAnsi="Calibri" w:cs="Times New Roman"/>
                <w:sz w:val="20"/>
                <w:szCs w:val="20"/>
              </w:rPr>
              <w:t xml:space="preserve"> pod rednim brojem 15. </w:t>
            </w:r>
            <w:proofErr w:type="gramStart"/>
            <w:r>
              <w:rPr>
                <w:rFonts w:ascii="Calibri" w:eastAsia="Calibri" w:hAnsi="Calibri" w:cs="Times New Roman"/>
                <w:sz w:val="20"/>
                <w:szCs w:val="20"/>
              </w:rPr>
              <w:t>kao</w:t>
            </w:r>
            <w:proofErr w:type="gramEnd"/>
            <w:r>
              <w:rPr>
                <w:rFonts w:ascii="Calibri" w:eastAsia="Calibri" w:hAnsi="Calibri" w:cs="Times New Roman"/>
                <w:sz w:val="20"/>
                <w:szCs w:val="20"/>
              </w:rPr>
              <w:t xml:space="preserve"> projekt u tijeku.</w:t>
            </w:r>
          </w:p>
        </w:tc>
      </w:tr>
      <w:tr w:rsidR="004C7FB0" w:rsidTr="004C7FB0">
        <w:tc>
          <w:tcPr>
            <w:tcW w:w="709" w:type="dxa"/>
            <w:vMerge/>
          </w:tcPr>
          <w:p w:rsidR="004C7FB0" w:rsidRDefault="004C7FB0" w:rsidP="00301BE2">
            <w:pPr>
              <w:jc w:val="both"/>
              <w:rPr>
                <w:rFonts w:ascii="Calibri" w:hAnsi="Calibri"/>
              </w:rPr>
            </w:pPr>
          </w:p>
        </w:tc>
        <w:tc>
          <w:tcPr>
            <w:tcW w:w="2268" w:type="dxa"/>
            <w:vMerge/>
          </w:tcPr>
          <w:p w:rsidR="004C7FB0" w:rsidRPr="00A55389" w:rsidRDefault="004C7FB0" w:rsidP="00301BE2">
            <w:pPr>
              <w:rPr>
                <w:rFonts w:ascii="Calibri" w:hAnsi="Calibri"/>
              </w:rPr>
            </w:pPr>
          </w:p>
        </w:tc>
        <w:tc>
          <w:tcPr>
            <w:tcW w:w="2126" w:type="dxa"/>
          </w:tcPr>
          <w:p w:rsidR="004C7FB0" w:rsidRPr="004E3E75" w:rsidRDefault="004C7FB0" w:rsidP="00301BE2">
            <w:pPr>
              <w:rPr>
                <w:sz w:val="20"/>
                <w:szCs w:val="20"/>
              </w:rPr>
            </w:pPr>
            <w:r>
              <w:rPr>
                <w:sz w:val="20"/>
                <w:szCs w:val="20"/>
              </w:rPr>
              <w:t>Prometna infrastruktura</w:t>
            </w:r>
          </w:p>
        </w:tc>
        <w:tc>
          <w:tcPr>
            <w:tcW w:w="5670" w:type="dxa"/>
          </w:tcPr>
          <w:p w:rsidR="004C7FB0" w:rsidRPr="00F51A8C" w:rsidRDefault="004C7FB0" w:rsidP="00301BE2">
            <w:pPr>
              <w:jc w:val="both"/>
              <w:rPr>
                <w:sz w:val="20"/>
                <w:szCs w:val="20"/>
              </w:rPr>
            </w:pPr>
            <w:r w:rsidRPr="00F51A8C">
              <w:rPr>
                <w:rFonts w:ascii="Calibri" w:eastAsia="Calibri" w:hAnsi="Calibri" w:cs="Times New Roman"/>
                <w:sz w:val="20"/>
                <w:szCs w:val="20"/>
              </w:rPr>
              <w:t xml:space="preserve">Asfaltiranje novih dionica i preasfaltiranje dijelova postojećih dionica nerazvrstanih cesta u Velom Brgudu </w:t>
            </w:r>
            <w:r w:rsidRPr="00F51A8C">
              <w:rPr>
                <w:sz w:val="20"/>
                <w:szCs w:val="20"/>
              </w:rPr>
              <w:t xml:space="preserve">- </w:t>
            </w:r>
            <w:r w:rsidRPr="00F51A8C">
              <w:rPr>
                <w:rFonts w:ascii="Calibri" w:eastAsia="Calibri" w:hAnsi="Calibri" w:cs="Times New Roman"/>
                <w:sz w:val="20"/>
                <w:szCs w:val="20"/>
              </w:rPr>
              <w:t>Iako smo vidjeli da je u objavljenom prijedlogu programa navedeno i predviđeno asfaltiranje nerazvrstanih cesta, ne znamo ako su ceste u Velom Brgudu obuhvaćene tom stavkom pa u koliko nisu predlažemo da se iste stave u program</w:t>
            </w:r>
            <w:r w:rsidRPr="00F51A8C">
              <w:rPr>
                <w:sz w:val="20"/>
                <w:szCs w:val="20"/>
              </w:rPr>
              <w:t>.</w:t>
            </w:r>
          </w:p>
          <w:p w:rsidR="004C7FB0" w:rsidRDefault="004C7FB0" w:rsidP="00301BE2">
            <w:pPr>
              <w:jc w:val="both"/>
            </w:pPr>
            <w:r w:rsidRPr="00F51A8C">
              <w:rPr>
                <w:rFonts w:ascii="Calibri" w:eastAsia="Calibri" w:hAnsi="Calibri" w:cs="Times New Roman"/>
                <w:sz w:val="20"/>
                <w:szCs w:val="20"/>
              </w:rPr>
              <w:t>Osim novih dionica svakako bi bilo potrebno sanirati i oštećenja na postojećim nerazvrstanim cestama u naselju. Sm</w:t>
            </w:r>
            <w:r>
              <w:rPr>
                <w:rFonts w:ascii="Calibri" w:eastAsia="Calibri" w:hAnsi="Calibri" w:cs="Times New Roman"/>
                <w:sz w:val="20"/>
                <w:szCs w:val="20"/>
              </w:rPr>
              <w:t>a</w:t>
            </w:r>
            <w:r w:rsidRPr="00F51A8C">
              <w:rPr>
                <w:rFonts w:ascii="Calibri" w:eastAsia="Calibri" w:hAnsi="Calibri" w:cs="Times New Roman"/>
                <w:sz w:val="20"/>
                <w:szCs w:val="20"/>
              </w:rPr>
              <w:t>tramo kak</w:t>
            </w:r>
            <w:r>
              <w:rPr>
                <w:rFonts w:ascii="Calibri" w:eastAsia="Calibri" w:hAnsi="Calibri" w:cs="Times New Roman"/>
                <w:sz w:val="20"/>
                <w:szCs w:val="20"/>
              </w:rPr>
              <w:t xml:space="preserve">o je vrlo bitno, </w:t>
            </w:r>
            <w:proofErr w:type="gramStart"/>
            <w:r>
              <w:rPr>
                <w:rFonts w:ascii="Calibri" w:eastAsia="Calibri" w:hAnsi="Calibri" w:cs="Times New Roman"/>
                <w:sz w:val="20"/>
                <w:szCs w:val="20"/>
              </w:rPr>
              <w:t>a</w:t>
            </w:r>
            <w:proofErr w:type="gramEnd"/>
            <w:r>
              <w:rPr>
                <w:rFonts w:ascii="Calibri" w:eastAsia="Calibri" w:hAnsi="Calibri" w:cs="Times New Roman"/>
                <w:sz w:val="20"/>
                <w:szCs w:val="20"/>
              </w:rPr>
              <w:t xml:space="preserve"> i jeftinije “</w:t>
            </w:r>
            <w:r w:rsidRPr="00F51A8C">
              <w:rPr>
                <w:rFonts w:ascii="Calibri" w:eastAsia="Calibri" w:hAnsi="Calibri" w:cs="Times New Roman"/>
                <w:sz w:val="20"/>
                <w:szCs w:val="20"/>
              </w:rPr>
              <w:t>na vrijeme</w:t>
            </w:r>
            <w:r>
              <w:rPr>
                <w:rFonts w:ascii="Calibri" w:eastAsia="Calibri" w:hAnsi="Calibri" w:cs="Times New Roman"/>
                <w:sz w:val="20"/>
                <w:szCs w:val="20"/>
              </w:rPr>
              <w:t xml:space="preserve">” </w:t>
            </w:r>
            <w:r w:rsidRPr="00F51A8C">
              <w:rPr>
                <w:rFonts w:ascii="Calibri" w:eastAsia="Calibri" w:hAnsi="Calibri" w:cs="Times New Roman"/>
                <w:sz w:val="20"/>
                <w:szCs w:val="20"/>
              </w:rPr>
              <w:t>sanirati oštećenja na nerazvrstanim cestama, dok se oštećenja ne povećaju i u budućnosti ne iziskuju puno veće financijske izdake prilikom saniranja istih.</w:t>
            </w:r>
          </w:p>
          <w:p w:rsidR="004C7FB0" w:rsidRPr="008B16A9" w:rsidRDefault="004C7FB0" w:rsidP="008B16A9">
            <w:pPr>
              <w:tabs>
                <w:tab w:val="left" w:pos="3900"/>
              </w:tabs>
            </w:pPr>
            <w:r>
              <w:tab/>
            </w:r>
          </w:p>
        </w:tc>
        <w:tc>
          <w:tcPr>
            <w:tcW w:w="4423" w:type="dxa"/>
          </w:tcPr>
          <w:p w:rsidR="004C7FB0" w:rsidRPr="0071483F" w:rsidRDefault="004C7FB0" w:rsidP="0071483F">
            <w:pPr>
              <w:jc w:val="both"/>
              <w:rPr>
                <w:color w:val="000000" w:themeColor="text1"/>
                <w:sz w:val="20"/>
                <w:szCs w:val="20"/>
              </w:rPr>
            </w:pPr>
            <w:r w:rsidRPr="0071483F">
              <w:rPr>
                <w:rFonts w:ascii="Calibri" w:eastAsia="Calibri" w:hAnsi="Calibri" w:cs="TimesNewRomanPSMT"/>
                <w:color w:val="000000" w:themeColor="text1"/>
                <w:sz w:val="20"/>
                <w:szCs w:val="20"/>
                <w:lang w:val="hr-HR"/>
              </w:rPr>
              <w:t xml:space="preserve">Strategija je dokument općenitog karaktera u kojem su sadržani prioriteti i mjere te preliminarni popis projekata za ostvarivanje strateških ciljeva usmjerenih prema društveno-gospodarskom razvoju Općine Matulji. Uzimajući u obzir da se radi o dokumentu koji definira opće smjernice razvoja Općine, razvoj, unaprjeđenje i održavanje nerazvrstanih cesta  sadržan je u Strateškom cilju 2., Prioritetu 2.3., Mjera 2.3.1. Izgradnja i održavanje nerazvrstanih cesta. </w:t>
            </w:r>
            <w:r w:rsidRPr="0071483F">
              <w:rPr>
                <w:rFonts w:ascii="Calibri" w:eastAsia="Calibri" w:hAnsi="Calibri" w:cs="Times New Roman"/>
                <w:color w:val="000000" w:themeColor="text1"/>
                <w:sz w:val="20"/>
                <w:szCs w:val="20"/>
              </w:rPr>
              <w:t xml:space="preserve">Također je projekt Izgradnje nerazvrstanih cesta naveden u popisu planiranih razvojnih projekata Općine Matulji u Tablici 3. Razvojni projekti Općine Matulji u razdoblju od 2016. </w:t>
            </w:r>
            <w:proofErr w:type="gramStart"/>
            <w:r w:rsidRPr="0071483F">
              <w:rPr>
                <w:rFonts w:ascii="Calibri" w:eastAsia="Calibri" w:hAnsi="Calibri" w:cs="Times New Roman"/>
                <w:color w:val="000000" w:themeColor="text1"/>
                <w:sz w:val="20"/>
                <w:szCs w:val="20"/>
              </w:rPr>
              <w:t>do</w:t>
            </w:r>
            <w:proofErr w:type="gramEnd"/>
            <w:r w:rsidRPr="0071483F">
              <w:rPr>
                <w:rFonts w:ascii="Calibri" w:eastAsia="Calibri" w:hAnsi="Calibri" w:cs="Times New Roman"/>
                <w:color w:val="000000" w:themeColor="text1"/>
                <w:sz w:val="20"/>
                <w:szCs w:val="20"/>
              </w:rPr>
              <w:t xml:space="preserve"> 2020. </w:t>
            </w:r>
            <w:proofErr w:type="gramStart"/>
            <w:r w:rsidRPr="0071483F">
              <w:rPr>
                <w:rFonts w:ascii="Calibri" w:eastAsia="Calibri" w:hAnsi="Calibri" w:cs="Times New Roman"/>
                <w:color w:val="000000" w:themeColor="text1"/>
                <w:sz w:val="20"/>
                <w:szCs w:val="20"/>
              </w:rPr>
              <w:t>godine</w:t>
            </w:r>
            <w:proofErr w:type="gramEnd"/>
            <w:r w:rsidRPr="0071483F">
              <w:rPr>
                <w:rFonts w:ascii="Calibri" w:eastAsia="Calibri" w:hAnsi="Calibri" w:cs="Times New Roman"/>
                <w:color w:val="000000" w:themeColor="text1"/>
                <w:sz w:val="20"/>
                <w:szCs w:val="20"/>
              </w:rPr>
              <w:t xml:space="preserve"> pod rednim brojem 10. </w:t>
            </w:r>
            <w:proofErr w:type="gramStart"/>
            <w:r w:rsidRPr="0071483F">
              <w:rPr>
                <w:rFonts w:ascii="Calibri" w:eastAsia="Calibri" w:hAnsi="Calibri" w:cs="Times New Roman"/>
                <w:color w:val="000000" w:themeColor="text1"/>
                <w:sz w:val="20"/>
                <w:szCs w:val="20"/>
              </w:rPr>
              <w:t>kao</w:t>
            </w:r>
            <w:proofErr w:type="gramEnd"/>
            <w:r w:rsidRPr="0071483F">
              <w:rPr>
                <w:rFonts w:ascii="Calibri" w:eastAsia="Calibri" w:hAnsi="Calibri" w:cs="Times New Roman"/>
                <w:color w:val="000000" w:themeColor="text1"/>
                <w:sz w:val="20"/>
                <w:szCs w:val="20"/>
              </w:rPr>
              <w:t xml:space="preserve"> projekt u tijeku. Pojedinačni projekti će biti naknadno plan</w:t>
            </w:r>
            <w:r w:rsidR="0071483F">
              <w:rPr>
                <w:rFonts w:ascii="Calibri" w:eastAsia="Calibri" w:hAnsi="Calibri" w:cs="Times New Roman"/>
                <w:color w:val="000000" w:themeColor="text1"/>
                <w:sz w:val="20"/>
                <w:szCs w:val="20"/>
              </w:rPr>
              <w:t>irani u okviru ovih smjernica,</w:t>
            </w:r>
            <w:r w:rsidRPr="0071483F">
              <w:rPr>
                <w:rFonts w:ascii="Calibri" w:eastAsia="Calibri" w:hAnsi="Calibri" w:cs="Times New Roman"/>
                <w:color w:val="000000" w:themeColor="text1"/>
                <w:sz w:val="20"/>
                <w:szCs w:val="20"/>
              </w:rPr>
              <w:t xml:space="preserve"> kao</w:t>
            </w:r>
            <w:r w:rsidR="0071483F">
              <w:rPr>
                <w:rFonts w:ascii="Calibri" w:eastAsia="Calibri" w:hAnsi="Calibri" w:cs="Times New Roman"/>
                <w:color w:val="000000" w:themeColor="text1"/>
                <w:sz w:val="20"/>
                <w:szCs w:val="20"/>
              </w:rPr>
              <w:t xml:space="preserve"> i</w:t>
            </w:r>
            <w:r w:rsidRPr="0071483F">
              <w:rPr>
                <w:rFonts w:ascii="Calibri" w:eastAsia="Calibri" w:hAnsi="Calibri" w:cs="Times New Roman"/>
                <w:color w:val="000000" w:themeColor="text1"/>
                <w:sz w:val="20"/>
                <w:szCs w:val="20"/>
              </w:rPr>
              <w:t xml:space="preserve"> način realizacije gore navedenih ciljeva, prioriteta i mjera.</w:t>
            </w:r>
          </w:p>
        </w:tc>
      </w:tr>
      <w:tr w:rsidR="004C7FB0" w:rsidTr="004C7FB0">
        <w:tc>
          <w:tcPr>
            <w:tcW w:w="709" w:type="dxa"/>
            <w:vMerge/>
          </w:tcPr>
          <w:p w:rsidR="004C7FB0" w:rsidRDefault="004C7FB0" w:rsidP="00301BE2">
            <w:pPr>
              <w:jc w:val="both"/>
              <w:rPr>
                <w:rFonts w:ascii="Calibri" w:hAnsi="Calibri"/>
              </w:rPr>
            </w:pPr>
          </w:p>
        </w:tc>
        <w:tc>
          <w:tcPr>
            <w:tcW w:w="2268" w:type="dxa"/>
            <w:vMerge/>
          </w:tcPr>
          <w:p w:rsidR="004C7FB0" w:rsidRPr="00A55389" w:rsidRDefault="004C7FB0" w:rsidP="00301BE2">
            <w:pPr>
              <w:rPr>
                <w:rFonts w:ascii="Calibri" w:hAnsi="Calibri"/>
              </w:rPr>
            </w:pPr>
          </w:p>
        </w:tc>
        <w:tc>
          <w:tcPr>
            <w:tcW w:w="2126" w:type="dxa"/>
          </w:tcPr>
          <w:p w:rsidR="004C7FB0" w:rsidRPr="004E3E75" w:rsidRDefault="004C7FB0" w:rsidP="00301BE2">
            <w:pPr>
              <w:rPr>
                <w:sz w:val="20"/>
                <w:szCs w:val="20"/>
              </w:rPr>
            </w:pPr>
            <w:r>
              <w:rPr>
                <w:sz w:val="20"/>
                <w:szCs w:val="20"/>
              </w:rPr>
              <w:t>Društvena infrastruktura</w:t>
            </w:r>
          </w:p>
        </w:tc>
        <w:tc>
          <w:tcPr>
            <w:tcW w:w="5670" w:type="dxa"/>
          </w:tcPr>
          <w:p w:rsidR="004C7FB0" w:rsidRPr="002075DA" w:rsidRDefault="004C7FB0" w:rsidP="00301BE2">
            <w:pPr>
              <w:jc w:val="both"/>
              <w:rPr>
                <w:sz w:val="20"/>
                <w:szCs w:val="20"/>
              </w:rPr>
            </w:pPr>
            <w:r w:rsidRPr="002075DA">
              <w:rPr>
                <w:rFonts w:ascii="Calibri" w:eastAsia="Calibri" w:hAnsi="Calibri" w:cs="Times New Roman"/>
                <w:sz w:val="20"/>
                <w:szCs w:val="20"/>
              </w:rPr>
              <w:t>Uređenje igrališta na lokaciji novoizgrađenih zgrada u V.Brgudu, u smislu dovoda infrastrukture do istog te postavu stupova za montažu reflektora</w:t>
            </w:r>
            <w:r>
              <w:rPr>
                <w:rFonts w:ascii="Calibri" w:eastAsia="Calibri" w:hAnsi="Calibri" w:cs="Times New Roman"/>
                <w:sz w:val="20"/>
                <w:szCs w:val="20"/>
              </w:rPr>
              <w:t>.</w:t>
            </w:r>
          </w:p>
          <w:p w:rsidR="004C7FB0" w:rsidRPr="002075DA" w:rsidRDefault="004C7FB0" w:rsidP="009C4B4C">
            <w:pPr>
              <w:jc w:val="both"/>
              <w:rPr>
                <w:sz w:val="20"/>
                <w:szCs w:val="20"/>
              </w:rPr>
            </w:pPr>
            <w:r w:rsidRPr="002075DA">
              <w:rPr>
                <w:rFonts w:ascii="Calibri" w:eastAsia="Calibri" w:hAnsi="Calibri" w:cs="Times New Roman"/>
                <w:sz w:val="20"/>
                <w:szCs w:val="20"/>
              </w:rPr>
              <w:t>Smatramo kako je uređenje igrališta i dovod infrastrukture od velike važnosti za mjesto iz razloga jer se zadnjih godina brojnost djece u naselju uvelike povećala, a pogotovo na području novoizgrađenh višestambenih građevina koje se nalaze u blizini istog te u kojima žive pretežno mlade obitelji. Osim navedenog namjerava se u budućnosti na istom održavati i tradicijske manifestacije kao što je npr. Kuzmova</w:t>
            </w:r>
            <w:r>
              <w:rPr>
                <w:rFonts w:ascii="Calibri" w:eastAsia="Calibri" w:hAnsi="Calibri" w:cs="Times New Roman"/>
                <w:sz w:val="20"/>
                <w:szCs w:val="20"/>
              </w:rPr>
              <w:t>,</w:t>
            </w:r>
            <w:r w:rsidRPr="002075DA">
              <w:rPr>
                <w:rFonts w:ascii="Calibri" w:eastAsia="Calibri" w:hAnsi="Calibri" w:cs="Times New Roman"/>
                <w:sz w:val="20"/>
                <w:szCs w:val="20"/>
              </w:rPr>
              <w:t xml:space="preserve"> ali i ostale aktivnosti tokom godine koje se sada trenutno održavaju na terasi koja je u privatnom vlasništvu. S obzirom da uz igralište od kada je isto napravljeno na podu „leže“ čelični stupovi za reflektore smatramo kako je to zaista šteta da svakim danom sve više propadaju i bila bi prava nesreća kada bi isti zahrđali, te smatr</w:t>
            </w:r>
            <w:r>
              <w:rPr>
                <w:rFonts w:ascii="Calibri" w:eastAsia="Calibri" w:hAnsi="Calibri" w:cs="Times New Roman"/>
                <w:sz w:val="20"/>
                <w:szCs w:val="20"/>
              </w:rPr>
              <w:t>a</w:t>
            </w:r>
            <w:r w:rsidRPr="002075DA">
              <w:rPr>
                <w:rFonts w:ascii="Calibri" w:eastAsia="Calibri" w:hAnsi="Calibri" w:cs="Times New Roman"/>
                <w:sz w:val="20"/>
                <w:szCs w:val="20"/>
              </w:rPr>
              <w:t>mo da je uz ne tako nedostižni financijski izdatak iste moguće postaviti te i to predlažemo da se uvrsti u program. Iz svega navedenog smatramo naš prijedlog opravdanim.</w:t>
            </w:r>
          </w:p>
        </w:tc>
        <w:tc>
          <w:tcPr>
            <w:tcW w:w="4423" w:type="dxa"/>
          </w:tcPr>
          <w:p w:rsidR="004C7FB0" w:rsidRDefault="004C7FB0" w:rsidP="006D5BB2">
            <w:pPr>
              <w:jc w:val="both"/>
              <w:rPr>
                <w:rFonts w:ascii="Calibri" w:eastAsia="Calibri" w:hAnsi="Calibri" w:cs="TimesNewRomanPSMT"/>
                <w:sz w:val="20"/>
                <w:szCs w:val="20"/>
                <w:lang w:val="hr-HR"/>
              </w:rPr>
            </w:pPr>
            <w:r w:rsidRPr="00DA2DDC">
              <w:rPr>
                <w:rFonts w:ascii="Calibri" w:eastAsia="Calibri" w:hAnsi="Calibri" w:cs="TimesNewRomanPSMT"/>
                <w:sz w:val="20"/>
                <w:szCs w:val="20"/>
                <w:lang w:val="hr-HR"/>
              </w:rPr>
              <w:t>Strategija je dokument općenitog karaktera u kojem su sadržani prioriteti i mjere te preliminarni popis projekata za ostvarivanje strateških ciljeva usmjerenih prema društveno-gospodarskom razvoju Općine Matulji.</w:t>
            </w:r>
            <w:r>
              <w:rPr>
                <w:rFonts w:ascii="Calibri" w:eastAsia="Calibri" w:hAnsi="Calibri" w:cs="TimesNewRomanPSMT"/>
                <w:sz w:val="20"/>
                <w:szCs w:val="20"/>
                <w:lang w:val="hr-HR"/>
              </w:rPr>
              <w:t xml:space="preserve"> Budući se</w:t>
            </w:r>
            <w:r w:rsidRPr="00DA2DDC">
              <w:rPr>
                <w:rFonts w:ascii="Calibri" w:eastAsia="Calibri" w:hAnsi="Calibri" w:cs="TimesNewRomanPSMT"/>
                <w:sz w:val="20"/>
                <w:szCs w:val="20"/>
                <w:lang w:val="hr-HR"/>
              </w:rPr>
              <w:t xml:space="preserve">  radi o dokumentu koji definira opće smjernice razvoja Općine</w:t>
            </w:r>
            <w:r>
              <w:rPr>
                <w:rFonts w:ascii="Calibri" w:eastAsia="Calibri" w:hAnsi="Calibri" w:cs="TimesNewRomanPSMT"/>
                <w:sz w:val="20"/>
                <w:szCs w:val="20"/>
                <w:lang w:val="hr-HR"/>
              </w:rPr>
              <w:t>,  projekti uređenja i opremanja igrališta na području Općine Matulji obuhvaćeni su u Strateškom cilju 2.,  Prioritetu 2.2., Razvoj, unaprjeđenje i održavanje društvene infrastrukture, Mjeri 2.2.3. Izgradnja i održavanje društvene infrastrukture.</w:t>
            </w:r>
          </w:p>
          <w:p w:rsidR="004C7FB0" w:rsidRPr="006D5BB2" w:rsidRDefault="004C7FB0" w:rsidP="006D5BB2">
            <w:pPr>
              <w:jc w:val="both"/>
              <w:rPr>
                <w:color w:val="000000" w:themeColor="text1"/>
                <w:sz w:val="20"/>
                <w:szCs w:val="20"/>
              </w:rPr>
            </w:pPr>
            <w:r w:rsidRPr="006D5BB2">
              <w:rPr>
                <w:rFonts w:ascii="Calibri" w:eastAsia="Calibri" w:hAnsi="Calibri" w:cs="Times New Roman"/>
                <w:color w:val="000000" w:themeColor="text1"/>
                <w:sz w:val="20"/>
                <w:szCs w:val="20"/>
              </w:rPr>
              <w:t>Projekti poput predloženog u okviru ovih mjera će biti naknadno planirani u skladu s prioritetima i mogućnostima realizacije.</w:t>
            </w:r>
          </w:p>
        </w:tc>
      </w:tr>
      <w:tr w:rsidR="000B21A5" w:rsidTr="006F037D">
        <w:tc>
          <w:tcPr>
            <w:tcW w:w="15196" w:type="dxa"/>
            <w:gridSpan w:val="5"/>
          </w:tcPr>
          <w:p w:rsidR="000B21A5" w:rsidRPr="00E77E43" w:rsidRDefault="00280B07" w:rsidP="00280B07">
            <w:pPr>
              <w:spacing w:before="120"/>
              <w:jc w:val="both"/>
              <w:rPr>
                <w:rFonts w:ascii="Calibri" w:eastAsia="Calibri" w:hAnsi="Calibri" w:cs="TimesNewRomanPSMT"/>
                <w:sz w:val="20"/>
                <w:szCs w:val="20"/>
                <w:lang w:val="hr-HR"/>
              </w:rPr>
            </w:pPr>
            <w:r w:rsidRPr="00BB42EB">
              <w:rPr>
                <w:rFonts w:ascii="Calibri" w:hAnsi="Calibri" w:cs="Times New Roman"/>
                <w:b/>
                <w:color w:val="000000" w:themeColor="text1"/>
                <w:sz w:val="24"/>
                <w:szCs w:val="24"/>
              </w:rPr>
              <w:t>PRIMJEDBE UPISANE U KNJIGU MIŠLJENJA, PRIMJEDBI I PRIJEDLOGA U VIJEĆNICI OPĆINE MATULJI</w:t>
            </w:r>
          </w:p>
        </w:tc>
      </w:tr>
      <w:tr w:rsidR="004C7FB0" w:rsidTr="004C7FB0">
        <w:tc>
          <w:tcPr>
            <w:tcW w:w="709" w:type="dxa"/>
          </w:tcPr>
          <w:p w:rsidR="004C7FB0" w:rsidRPr="0021717F" w:rsidRDefault="004C7FB0" w:rsidP="00301BE2">
            <w:pPr>
              <w:jc w:val="both"/>
              <w:rPr>
                <w:color w:val="000000" w:themeColor="text1"/>
                <w:sz w:val="20"/>
                <w:szCs w:val="20"/>
              </w:rPr>
            </w:pPr>
            <w:r w:rsidRPr="0021717F">
              <w:rPr>
                <w:color w:val="000000" w:themeColor="text1"/>
                <w:sz w:val="20"/>
                <w:szCs w:val="20"/>
              </w:rPr>
              <w:t>1.</w:t>
            </w:r>
          </w:p>
        </w:tc>
        <w:tc>
          <w:tcPr>
            <w:tcW w:w="2268" w:type="dxa"/>
          </w:tcPr>
          <w:p w:rsidR="004C7FB0" w:rsidRPr="0021717F" w:rsidRDefault="004C7FB0" w:rsidP="00301BE2">
            <w:pPr>
              <w:jc w:val="both"/>
              <w:rPr>
                <w:color w:val="000000" w:themeColor="text1"/>
                <w:sz w:val="20"/>
                <w:szCs w:val="20"/>
              </w:rPr>
            </w:pPr>
            <w:r w:rsidRPr="0021717F">
              <w:rPr>
                <w:color w:val="000000" w:themeColor="text1"/>
                <w:sz w:val="20"/>
                <w:szCs w:val="20"/>
              </w:rPr>
              <w:t>Silvio Milohanović</w:t>
            </w:r>
          </w:p>
          <w:p w:rsidR="004C7FB0" w:rsidRPr="0021717F" w:rsidRDefault="004C7FB0" w:rsidP="00301BE2">
            <w:pPr>
              <w:jc w:val="both"/>
              <w:rPr>
                <w:color w:val="000000" w:themeColor="text1"/>
                <w:sz w:val="20"/>
                <w:szCs w:val="20"/>
              </w:rPr>
            </w:pPr>
            <w:r w:rsidRPr="0021717F">
              <w:rPr>
                <w:color w:val="000000" w:themeColor="text1"/>
                <w:sz w:val="20"/>
                <w:szCs w:val="20"/>
              </w:rPr>
              <w:t>Popovićev put 13</w:t>
            </w:r>
          </w:p>
          <w:p w:rsidR="004C7FB0" w:rsidRPr="0021717F" w:rsidRDefault="004C7FB0" w:rsidP="00301BE2">
            <w:pPr>
              <w:rPr>
                <w:color w:val="000000" w:themeColor="text1"/>
                <w:sz w:val="20"/>
                <w:szCs w:val="20"/>
              </w:rPr>
            </w:pPr>
            <w:r w:rsidRPr="0021717F">
              <w:rPr>
                <w:color w:val="000000" w:themeColor="text1"/>
                <w:sz w:val="20"/>
                <w:szCs w:val="20"/>
              </w:rPr>
              <w:t>51211 Matulji</w:t>
            </w:r>
          </w:p>
        </w:tc>
        <w:tc>
          <w:tcPr>
            <w:tcW w:w="2126" w:type="dxa"/>
          </w:tcPr>
          <w:p w:rsidR="004C7FB0" w:rsidRPr="0021717F" w:rsidRDefault="004C7FB0" w:rsidP="00301BE2">
            <w:pPr>
              <w:jc w:val="both"/>
              <w:rPr>
                <w:color w:val="000000" w:themeColor="text1"/>
                <w:sz w:val="20"/>
                <w:szCs w:val="20"/>
              </w:rPr>
            </w:pPr>
            <w:r>
              <w:rPr>
                <w:color w:val="000000" w:themeColor="text1"/>
                <w:sz w:val="20"/>
                <w:szCs w:val="20"/>
              </w:rPr>
              <w:t>Analiza stanja</w:t>
            </w:r>
          </w:p>
        </w:tc>
        <w:tc>
          <w:tcPr>
            <w:tcW w:w="5670" w:type="dxa"/>
          </w:tcPr>
          <w:p w:rsidR="004C7FB0" w:rsidRPr="0021717F" w:rsidRDefault="004C7FB0" w:rsidP="00301BE2">
            <w:pPr>
              <w:jc w:val="both"/>
              <w:rPr>
                <w:rFonts w:cs="Times New Roman"/>
                <w:color w:val="000000" w:themeColor="text1"/>
                <w:sz w:val="20"/>
                <w:szCs w:val="20"/>
              </w:rPr>
            </w:pPr>
            <w:r w:rsidRPr="0021717F">
              <w:rPr>
                <w:rFonts w:cs="Times New Roman"/>
                <w:color w:val="000000" w:themeColor="text1"/>
                <w:sz w:val="20"/>
                <w:szCs w:val="20"/>
              </w:rPr>
              <w:t xml:space="preserve">Po “Prijedlogu strateškog razvoja Općine Matulji”, nije vidljivo s kojim datumom je početak “Analize stanja” </w:t>
            </w:r>
            <w:r>
              <w:rPr>
                <w:rFonts w:cs="Times New Roman"/>
                <w:color w:val="000000" w:themeColor="text1"/>
                <w:sz w:val="20"/>
                <w:szCs w:val="20"/>
              </w:rPr>
              <w:t>z</w:t>
            </w:r>
            <w:r w:rsidRPr="0021717F">
              <w:rPr>
                <w:rFonts w:cs="Times New Roman"/>
                <w:color w:val="000000" w:themeColor="text1"/>
                <w:sz w:val="20"/>
                <w:szCs w:val="20"/>
              </w:rPr>
              <w:t>a javnu raspravu, s toga ja kao predlagač, nisam u stanju uvidjeti da li su određene primjedbe date u prethodnom razdoblju (npr. U izgradnji infrastrukture) ušle u program razvoja (za razdoblje od 2016. Do 2020.), niti u kojoj su fazi razvoja raniji prijedlozi.</w:t>
            </w:r>
          </w:p>
        </w:tc>
        <w:tc>
          <w:tcPr>
            <w:tcW w:w="4423" w:type="dxa"/>
          </w:tcPr>
          <w:p w:rsidR="004C7FB0" w:rsidRPr="00E77E43" w:rsidRDefault="004C7FB0" w:rsidP="006D5BB2">
            <w:pPr>
              <w:jc w:val="both"/>
              <w:rPr>
                <w:rFonts w:ascii="Calibri" w:eastAsia="Calibri" w:hAnsi="Calibri" w:cs="TimesNewRomanPSMT"/>
                <w:sz w:val="20"/>
                <w:szCs w:val="20"/>
                <w:lang w:val="hr-HR"/>
              </w:rPr>
            </w:pPr>
            <w:r w:rsidRPr="00E77E43">
              <w:rPr>
                <w:rFonts w:ascii="Calibri" w:eastAsia="Calibri" w:hAnsi="Calibri" w:cs="TimesNewRomanPSMT"/>
                <w:sz w:val="20"/>
                <w:szCs w:val="20"/>
                <w:lang w:val="hr-HR"/>
              </w:rPr>
              <w:t xml:space="preserve">Analiza </w:t>
            </w:r>
            <w:r w:rsidRPr="006D5BB2">
              <w:rPr>
                <w:rFonts w:ascii="Calibri" w:eastAsia="Calibri" w:hAnsi="Calibri" w:cs="TimesNewRomanPSMT"/>
                <w:color w:val="000000" w:themeColor="text1"/>
                <w:sz w:val="20"/>
                <w:szCs w:val="20"/>
                <w:lang w:val="hr-HR"/>
              </w:rPr>
              <w:t>društveno - ekonomskog</w:t>
            </w:r>
            <w:r w:rsidRPr="009C4B4C">
              <w:rPr>
                <w:rFonts w:ascii="Calibri" w:eastAsia="Calibri" w:hAnsi="Calibri" w:cs="TimesNewRomanPSMT"/>
                <w:color w:val="FF0000"/>
                <w:sz w:val="20"/>
                <w:szCs w:val="20"/>
                <w:lang w:val="hr-HR"/>
              </w:rPr>
              <w:t xml:space="preserve">  </w:t>
            </w:r>
            <w:r w:rsidRPr="00E77E43">
              <w:rPr>
                <w:rFonts w:ascii="Calibri" w:eastAsia="Calibri" w:hAnsi="Calibri" w:cs="TimesNewRomanPSMT"/>
                <w:sz w:val="20"/>
                <w:szCs w:val="20"/>
                <w:lang w:val="hr-HR"/>
              </w:rPr>
              <w:t xml:space="preserve">stanja i položaja Općine u okruženju izrađena je na temelju podataka dostupnih  početkom 2016. godine. Za svaki statistički podatak naveden u </w:t>
            </w:r>
            <w:r w:rsidRPr="006D5BB2">
              <w:rPr>
                <w:rFonts w:ascii="Calibri" w:eastAsia="Calibri" w:hAnsi="Calibri" w:cs="TimesNewRomanPSMT"/>
                <w:color w:val="000000" w:themeColor="text1"/>
                <w:sz w:val="20"/>
                <w:szCs w:val="20"/>
                <w:lang w:val="hr-HR"/>
              </w:rPr>
              <w:t xml:space="preserve">prijedlogu </w:t>
            </w:r>
            <w:r>
              <w:rPr>
                <w:rFonts w:ascii="Calibri" w:eastAsia="Calibri" w:hAnsi="Calibri" w:cs="TimesNewRomanPSMT"/>
                <w:sz w:val="20"/>
                <w:szCs w:val="20"/>
                <w:lang w:val="hr-HR"/>
              </w:rPr>
              <w:t>Strateškog razvojnog programa</w:t>
            </w:r>
            <w:r w:rsidRPr="00E77E43">
              <w:rPr>
                <w:rFonts w:ascii="Calibri" w:eastAsia="Calibri" w:hAnsi="Calibri" w:cs="TimesNewRomanPSMT"/>
                <w:sz w:val="20"/>
                <w:szCs w:val="20"/>
                <w:lang w:val="hr-HR"/>
              </w:rPr>
              <w:t xml:space="preserve"> </w:t>
            </w:r>
            <w:r>
              <w:rPr>
                <w:rFonts w:ascii="Calibri" w:eastAsia="Calibri" w:hAnsi="Calibri" w:cs="TimesNewRomanPSMT"/>
                <w:sz w:val="20"/>
                <w:szCs w:val="20"/>
                <w:lang w:val="hr-HR"/>
              </w:rPr>
              <w:t>naznačen</w:t>
            </w:r>
            <w:r w:rsidRPr="00E77E43">
              <w:rPr>
                <w:rFonts w:ascii="Calibri" w:eastAsia="Calibri" w:hAnsi="Calibri" w:cs="TimesNewRomanPSMT"/>
                <w:sz w:val="20"/>
                <w:szCs w:val="20"/>
                <w:lang w:val="hr-HR"/>
              </w:rPr>
              <w:t xml:space="preserve"> je izvor istoga te godina na koju se podatak odnosi.</w:t>
            </w:r>
          </w:p>
          <w:p w:rsidR="004C7FB0" w:rsidRPr="00AE2A40" w:rsidRDefault="004C7FB0" w:rsidP="006D5BB2">
            <w:pPr>
              <w:jc w:val="both"/>
              <w:rPr>
                <w:sz w:val="20"/>
                <w:szCs w:val="20"/>
              </w:rPr>
            </w:pPr>
            <w:r w:rsidRPr="00E77E43">
              <w:rPr>
                <w:rFonts w:ascii="Calibri" w:eastAsia="Calibri" w:hAnsi="Calibri" w:cs="TimesNewRomanPSMT"/>
                <w:sz w:val="20"/>
                <w:szCs w:val="20"/>
                <w:lang w:val="hr-HR"/>
              </w:rPr>
              <w:t>Strateški razvojni program Općine Matulji je razvojni dokument Općine koji se izrađuje po prvi put te prethodno davanje mišljenja, primjedbi i prijedloga,  prije otvaranja samog postupka Javne rasprave</w:t>
            </w:r>
            <w:r>
              <w:rPr>
                <w:rFonts w:ascii="Calibri" w:eastAsia="Calibri" w:hAnsi="Calibri" w:cs="TimesNewRomanPSMT"/>
                <w:sz w:val="20"/>
                <w:szCs w:val="20"/>
                <w:lang w:val="hr-HR"/>
              </w:rPr>
              <w:t>,</w:t>
            </w:r>
            <w:r w:rsidRPr="00E77E43">
              <w:rPr>
                <w:rFonts w:ascii="Calibri" w:eastAsia="Calibri" w:hAnsi="Calibri" w:cs="TimesNewRomanPSMT"/>
                <w:sz w:val="20"/>
                <w:szCs w:val="20"/>
                <w:lang w:val="hr-HR"/>
              </w:rPr>
              <w:t xml:space="preserve">  nije bilo moguće.   </w:t>
            </w:r>
          </w:p>
        </w:tc>
      </w:tr>
      <w:tr w:rsidR="000B21A5" w:rsidTr="00AA4C8B">
        <w:tc>
          <w:tcPr>
            <w:tcW w:w="15196" w:type="dxa"/>
            <w:gridSpan w:val="5"/>
          </w:tcPr>
          <w:p w:rsidR="000B21A5" w:rsidRPr="006D5BB2" w:rsidRDefault="00280B07" w:rsidP="00280B07">
            <w:pPr>
              <w:spacing w:before="120"/>
              <w:jc w:val="both"/>
              <w:rPr>
                <w:rFonts w:ascii="Calibri" w:eastAsia="Calibri" w:hAnsi="Calibri" w:cs="TimesNewRomanPSMT"/>
                <w:color w:val="000000" w:themeColor="text1"/>
                <w:sz w:val="20"/>
                <w:szCs w:val="20"/>
                <w:lang w:val="hr-HR"/>
              </w:rPr>
            </w:pPr>
            <w:r>
              <w:rPr>
                <w:rFonts w:ascii="Calibri" w:hAnsi="Calibri" w:cs="Times New Roman"/>
                <w:b/>
                <w:color w:val="000000" w:themeColor="text1"/>
                <w:sz w:val="24"/>
                <w:szCs w:val="24"/>
              </w:rPr>
              <w:t xml:space="preserve">MIŠLJENJA, </w:t>
            </w:r>
            <w:r w:rsidRPr="00BB42EB">
              <w:rPr>
                <w:rFonts w:ascii="Calibri" w:hAnsi="Calibri" w:cs="Times New Roman"/>
                <w:b/>
                <w:color w:val="000000" w:themeColor="text1"/>
                <w:sz w:val="24"/>
                <w:szCs w:val="24"/>
              </w:rPr>
              <w:t>PRIMJEDBE</w:t>
            </w:r>
            <w:r>
              <w:rPr>
                <w:rFonts w:ascii="Calibri" w:hAnsi="Calibri" w:cs="Times New Roman"/>
                <w:b/>
                <w:color w:val="000000" w:themeColor="text1"/>
                <w:sz w:val="24"/>
                <w:szCs w:val="24"/>
              </w:rPr>
              <w:t xml:space="preserve"> I PRIJEDLOZI </w:t>
            </w:r>
            <w:r w:rsidRPr="00BB42EB">
              <w:rPr>
                <w:rFonts w:ascii="Calibri" w:hAnsi="Calibri" w:cs="Times New Roman"/>
                <w:b/>
                <w:color w:val="000000" w:themeColor="text1"/>
                <w:sz w:val="24"/>
                <w:szCs w:val="24"/>
              </w:rPr>
              <w:t>DANI NA ZAPISNIK ZA VRIJEME JAVNOG IZLAGANJA 1.9.2016.</w:t>
            </w:r>
          </w:p>
        </w:tc>
      </w:tr>
      <w:tr w:rsidR="004C7FB0" w:rsidTr="004C7FB0">
        <w:tc>
          <w:tcPr>
            <w:tcW w:w="709" w:type="dxa"/>
          </w:tcPr>
          <w:p w:rsidR="004C7FB0" w:rsidRPr="0021717F" w:rsidRDefault="004C7FB0" w:rsidP="00301BE2">
            <w:pPr>
              <w:jc w:val="both"/>
              <w:rPr>
                <w:color w:val="000000" w:themeColor="text1"/>
                <w:sz w:val="20"/>
                <w:szCs w:val="20"/>
              </w:rPr>
            </w:pPr>
            <w:r w:rsidRPr="0021717F">
              <w:rPr>
                <w:color w:val="000000" w:themeColor="text1"/>
                <w:sz w:val="20"/>
                <w:szCs w:val="20"/>
              </w:rPr>
              <w:t>1.</w:t>
            </w:r>
          </w:p>
        </w:tc>
        <w:tc>
          <w:tcPr>
            <w:tcW w:w="2268" w:type="dxa"/>
          </w:tcPr>
          <w:p w:rsidR="004C7FB0" w:rsidRDefault="004C7FB0" w:rsidP="00301BE2">
            <w:pPr>
              <w:rPr>
                <w:color w:val="000000" w:themeColor="text1"/>
                <w:sz w:val="20"/>
                <w:szCs w:val="20"/>
              </w:rPr>
            </w:pPr>
            <w:r>
              <w:rPr>
                <w:color w:val="000000" w:themeColor="text1"/>
                <w:sz w:val="20"/>
                <w:szCs w:val="20"/>
              </w:rPr>
              <w:t>Udruženje obrtnika Opatija</w:t>
            </w:r>
          </w:p>
          <w:p w:rsidR="004C7FB0" w:rsidRPr="003077A7" w:rsidRDefault="004C7FB0" w:rsidP="00301BE2">
            <w:pPr>
              <w:rPr>
                <w:color w:val="000000" w:themeColor="text1"/>
                <w:sz w:val="20"/>
                <w:szCs w:val="20"/>
              </w:rPr>
            </w:pPr>
            <w:r w:rsidRPr="003077A7">
              <w:rPr>
                <w:color w:val="000000" w:themeColor="text1"/>
                <w:sz w:val="20"/>
                <w:szCs w:val="20"/>
              </w:rPr>
              <w:t>Maršala Tita 87</w:t>
            </w:r>
          </w:p>
          <w:p w:rsidR="004C7FB0" w:rsidRPr="0021717F" w:rsidRDefault="004C7FB0" w:rsidP="00301BE2">
            <w:pPr>
              <w:rPr>
                <w:color w:val="000000" w:themeColor="text1"/>
                <w:sz w:val="20"/>
                <w:szCs w:val="20"/>
              </w:rPr>
            </w:pPr>
            <w:r w:rsidRPr="003077A7">
              <w:rPr>
                <w:color w:val="000000" w:themeColor="text1"/>
                <w:sz w:val="20"/>
                <w:szCs w:val="20"/>
              </w:rPr>
              <w:t>51410 Opatija</w:t>
            </w:r>
          </w:p>
        </w:tc>
        <w:tc>
          <w:tcPr>
            <w:tcW w:w="2126" w:type="dxa"/>
          </w:tcPr>
          <w:p w:rsidR="004C7FB0" w:rsidRPr="0021717F" w:rsidRDefault="004C7FB0" w:rsidP="00301BE2">
            <w:pPr>
              <w:jc w:val="both"/>
              <w:rPr>
                <w:color w:val="000000" w:themeColor="text1"/>
                <w:sz w:val="20"/>
                <w:szCs w:val="20"/>
              </w:rPr>
            </w:pPr>
            <w:r>
              <w:rPr>
                <w:color w:val="000000" w:themeColor="text1"/>
                <w:sz w:val="20"/>
                <w:szCs w:val="20"/>
              </w:rPr>
              <w:t>Poduzetništvo</w:t>
            </w:r>
          </w:p>
          <w:p w:rsidR="004C7FB0" w:rsidRPr="0021717F" w:rsidRDefault="004C7FB0" w:rsidP="00301BE2">
            <w:pPr>
              <w:jc w:val="both"/>
              <w:rPr>
                <w:color w:val="000000" w:themeColor="text1"/>
                <w:sz w:val="20"/>
                <w:szCs w:val="20"/>
              </w:rPr>
            </w:pPr>
          </w:p>
        </w:tc>
        <w:tc>
          <w:tcPr>
            <w:tcW w:w="5670" w:type="dxa"/>
          </w:tcPr>
          <w:p w:rsidR="004C7FB0" w:rsidRPr="000A4C84" w:rsidRDefault="004C7FB0" w:rsidP="00301BE2">
            <w:pPr>
              <w:jc w:val="both"/>
              <w:rPr>
                <w:rFonts w:cs="Times New Roman"/>
                <w:color w:val="000000" w:themeColor="text1"/>
                <w:sz w:val="20"/>
                <w:szCs w:val="20"/>
              </w:rPr>
            </w:pPr>
            <w:r>
              <w:rPr>
                <w:rFonts w:cs="Times New Roman"/>
                <w:color w:val="000000" w:themeColor="text1"/>
                <w:sz w:val="20"/>
                <w:szCs w:val="20"/>
              </w:rPr>
              <w:t xml:space="preserve">Potrebno je naglasiti važnost društvenog (socijalnog) poduzetništva te </w:t>
            </w:r>
            <w:r w:rsidRPr="000A4C84">
              <w:rPr>
                <w:rFonts w:cs="Times New Roman"/>
                <w:color w:val="000000" w:themeColor="text1"/>
                <w:sz w:val="20"/>
                <w:szCs w:val="20"/>
              </w:rPr>
              <w:t>uspostave poticajnog okruženja za njegov razvoj na području Općine Matulji.</w:t>
            </w:r>
          </w:p>
          <w:p w:rsidR="004C7FB0" w:rsidRDefault="004C7FB0" w:rsidP="00301BE2">
            <w:pPr>
              <w:jc w:val="both"/>
              <w:rPr>
                <w:rFonts w:cs="Times New Roman"/>
                <w:color w:val="000000" w:themeColor="text1"/>
                <w:sz w:val="20"/>
                <w:szCs w:val="20"/>
              </w:rPr>
            </w:pPr>
          </w:p>
          <w:p w:rsidR="004C7FB0" w:rsidRPr="0021717F" w:rsidRDefault="004C7FB0" w:rsidP="00301BE2">
            <w:pPr>
              <w:jc w:val="both"/>
              <w:rPr>
                <w:rFonts w:cs="Times New Roman"/>
                <w:color w:val="000000" w:themeColor="text1"/>
                <w:sz w:val="20"/>
                <w:szCs w:val="20"/>
              </w:rPr>
            </w:pPr>
          </w:p>
        </w:tc>
        <w:tc>
          <w:tcPr>
            <w:tcW w:w="4423" w:type="dxa"/>
          </w:tcPr>
          <w:p w:rsidR="004C7FB0" w:rsidRPr="006D5BB2" w:rsidRDefault="004C7FB0" w:rsidP="006D5BB2">
            <w:pPr>
              <w:jc w:val="both"/>
              <w:rPr>
                <w:color w:val="000000" w:themeColor="text1"/>
                <w:sz w:val="20"/>
                <w:szCs w:val="20"/>
              </w:rPr>
            </w:pPr>
            <w:r w:rsidRPr="006D5BB2">
              <w:rPr>
                <w:rFonts w:ascii="Calibri" w:eastAsia="Calibri" w:hAnsi="Calibri" w:cs="TimesNewRomanPSMT"/>
                <w:color w:val="000000" w:themeColor="text1"/>
                <w:sz w:val="20"/>
                <w:szCs w:val="20"/>
                <w:lang w:val="hr-HR"/>
              </w:rPr>
              <w:t xml:space="preserve">U sklopu Strateškog cilja 1., Prioritet 1.5. Potpora razvoju poduzetničkih kompetencija kao jedna od mjera (Mjera 1.5.2.) određena je mjera poticanja samozapošljavanja i socijalnog poduzetništva na području Općine Matulji. Cijeli Strateški cilj 1. </w:t>
            </w:r>
            <w:r w:rsidRPr="006D5BB2">
              <w:rPr>
                <w:rFonts w:ascii="Calibri" w:eastAsia="Calibri" w:hAnsi="Calibri" w:cs="TimesNewRomanPSMT"/>
                <w:color w:val="000000" w:themeColor="text1"/>
                <w:sz w:val="20"/>
                <w:szCs w:val="20"/>
                <w:lang w:val="hr-HR"/>
              </w:rPr>
              <w:lastRenderedPageBreak/>
              <w:t>posvećen je uspostavi poticajnog okruženja za razvoj (socijalnog) poduzetništva na području Općine.</w:t>
            </w:r>
          </w:p>
        </w:tc>
      </w:tr>
      <w:tr w:rsidR="004C7FB0" w:rsidRPr="001E6A9D" w:rsidTr="004C7FB0">
        <w:tc>
          <w:tcPr>
            <w:tcW w:w="709" w:type="dxa"/>
          </w:tcPr>
          <w:p w:rsidR="004C7FB0" w:rsidRPr="00280B07" w:rsidRDefault="00280B07" w:rsidP="00301BE2">
            <w:pPr>
              <w:jc w:val="both"/>
              <w:rPr>
                <w:color w:val="000000" w:themeColor="text1"/>
                <w:sz w:val="20"/>
                <w:szCs w:val="20"/>
              </w:rPr>
            </w:pPr>
            <w:r w:rsidRPr="00280B07">
              <w:rPr>
                <w:color w:val="000000" w:themeColor="text1"/>
                <w:sz w:val="20"/>
                <w:szCs w:val="20"/>
              </w:rPr>
              <w:lastRenderedPageBreak/>
              <w:t>2.</w:t>
            </w:r>
          </w:p>
        </w:tc>
        <w:tc>
          <w:tcPr>
            <w:tcW w:w="2268" w:type="dxa"/>
          </w:tcPr>
          <w:p w:rsidR="004C7FB0" w:rsidRPr="00280B07" w:rsidRDefault="004C7FB0" w:rsidP="00301BE2">
            <w:pPr>
              <w:rPr>
                <w:color w:val="000000" w:themeColor="text1"/>
                <w:sz w:val="20"/>
                <w:szCs w:val="20"/>
              </w:rPr>
            </w:pPr>
            <w:r w:rsidRPr="00280B07">
              <w:rPr>
                <w:color w:val="000000" w:themeColor="text1"/>
                <w:sz w:val="20"/>
                <w:szCs w:val="20"/>
              </w:rPr>
              <w:t>Slobodan Juračić</w:t>
            </w:r>
          </w:p>
          <w:p w:rsidR="004C7FB0" w:rsidRPr="00280B07" w:rsidRDefault="004C7FB0" w:rsidP="00301BE2">
            <w:pPr>
              <w:rPr>
                <w:color w:val="000000" w:themeColor="text1"/>
                <w:sz w:val="20"/>
                <w:szCs w:val="20"/>
              </w:rPr>
            </w:pPr>
            <w:r w:rsidRPr="00280B07">
              <w:rPr>
                <w:color w:val="000000" w:themeColor="text1"/>
                <w:sz w:val="20"/>
                <w:szCs w:val="20"/>
              </w:rPr>
              <w:t>Općinski vijećnik</w:t>
            </w:r>
          </w:p>
        </w:tc>
        <w:tc>
          <w:tcPr>
            <w:tcW w:w="2126" w:type="dxa"/>
          </w:tcPr>
          <w:p w:rsidR="004C7FB0" w:rsidRPr="00280B07" w:rsidRDefault="004C7FB0" w:rsidP="00301BE2">
            <w:pPr>
              <w:jc w:val="both"/>
              <w:rPr>
                <w:color w:val="000000" w:themeColor="text1"/>
                <w:sz w:val="20"/>
                <w:szCs w:val="20"/>
              </w:rPr>
            </w:pPr>
            <w:r w:rsidRPr="00280B07">
              <w:rPr>
                <w:color w:val="000000" w:themeColor="text1"/>
                <w:sz w:val="20"/>
                <w:szCs w:val="20"/>
              </w:rPr>
              <w:t>Turizam</w:t>
            </w:r>
          </w:p>
        </w:tc>
        <w:tc>
          <w:tcPr>
            <w:tcW w:w="5670" w:type="dxa"/>
          </w:tcPr>
          <w:p w:rsidR="004C7FB0" w:rsidRPr="00280B07" w:rsidRDefault="004C7FB0" w:rsidP="00301BE2">
            <w:pPr>
              <w:jc w:val="both"/>
              <w:rPr>
                <w:rFonts w:cs="Times New Roman"/>
                <w:color w:val="000000" w:themeColor="text1"/>
                <w:sz w:val="20"/>
                <w:szCs w:val="20"/>
              </w:rPr>
            </w:pPr>
            <w:r w:rsidRPr="00280B07">
              <w:rPr>
                <w:rFonts w:cs="Times New Roman"/>
                <w:color w:val="000000" w:themeColor="text1"/>
                <w:sz w:val="20"/>
                <w:szCs w:val="20"/>
              </w:rPr>
              <w:t xml:space="preserve">Potrebno je naglasiti vezu između turističke ponude i društvenih djelatnosti te staviti društvene aktivnosti u funkciju razvoja integrirane turističke ponude </w:t>
            </w:r>
          </w:p>
        </w:tc>
        <w:tc>
          <w:tcPr>
            <w:tcW w:w="4423" w:type="dxa"/>
          </w:tcPr>
          <w:p w:rsidR="004C7FB0" w:rsidRPr="00280B07" w:rsidRDefault="004C7FB0" w:rsidP="00301BE2">
            <w:pPr>
              <w:rPr>
                <w:color w:val="000000" w:themeColor="text1"/>
                <w:sz w:val="20"/>
                <w:szCs w:val="20"/>
              </w:rPr>
            </w:pPr>
            <w:r w:rsidRPr="00280B07">
              <w:rPr>
                <w:color w:val="000000" w:themeColor="text1"/>
                <w:sz w:val="20"/>
                <w:szCs w:val="20"/>
              </w:rPr>
              <w:t>Prihvaća se</w:t>
            </w:r>
          </w:p>
        </w:tc>
      </w:tr>
    </w:tbl>
    <w:p w:rsidR="004E0EFE" w:rsidRDefault="004E0EFE" w:rsidP="00280B07"/>
    <w:sectPr w:rsidR="004E0EFE" w:rsidSect="005D13C4">
      <w:footerReference w:type="default" r:id="rId8"/>
      <w:pgSz w:w="16838" w:h="11906" w:orient="landscape"/>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438" w:rsidRDefault="00933438" w:rsidP="005D13C4">
      <w:pPr>
        <w:spacing w:after="0" w:line="240" w:lineRule="auto"/>
      </w:pPr>
      <w:r>
        <w:separator/>
      </w:r>
    </w:p>
  </w:endnote>
  <w:endnote w:type="continuationSeparator" w:id="0">
    <w:p w:rsidR="00933438" w:rsidRDefault="00933438" w:rsidP="005D1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554242"/>
      <w:docPartObj>
        <w:docPartGallery w:val="Page Numbers (Bottom of Page)"/>
        <w:docPartUnique/>
      </w:docPartObj>
    </w:sdtPr>
    <w:sdtEndPr>
      <w:rPr>
        <w:noProof/>
      </w:rPr>
    </w:sdtEndPr>
    <w:sdtContent>
      <w:p w:rsidR="000A4C84" w:rsidRDefault="007D6C74">
        <w:pPr>
          <w:pStyle w:val="Footer"/>
          <w:jc w:val="right"/>
        </w:pPr>
        <w:r>
          <w:fldChar w:fldCharType="begin"/>
        </w:r>
        <w:r w:rsidR="009566F2">
          <w:instrText xml:space="preserve"> PAGE   \* MERGEFORMAT </w:instrText>
        </w:r>
        <w:r>
          <w:fldChar w:fldCharType="separate"/>
        </w:r>
        <w:r w:rsidR="00C47E1F">
          <w:rPr>
            <w:noProof/>
          </w:rPr>
          <w:t>1</w:t>
        </w:r>
        <w:r>
          <w:rPr>
            <w:noProof/>
          </w:rPr>
          <w:fldChar w:fldCharType="end"/>
        </w:r>
      </w:p>
    </w:sdtContent>
  </w:sdt>
  <w:p w:rsidR="000A4C84" w:rsidRDefault="000A4C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438" w:rsidRDefault="00933438" w:rsidP="005D13C4">
      <w:pPr>
        <w:spacing w:after="0" w:line="240" w:lineRule="auto"/>
      </w:pPr>
      <w:r>
        <w:separator/>
      </w:r>
    </w:p>
  </w:footnote>
  <w:footnote w:type="continuationSeparator" w:id="0">
    <w:p w:rsidR="00933438" w:rsidRDefault="00933438" w:rsidP="005D13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DE8"/>
    <w:multiLevelType w:val="hybridMultilevel"/>
    <w:tmpl w:val="797A9E26"/>
    <w:lvl w:ilvl="0" w:tplc="1F8E1134">
      <w:start w:val="2"/>
      <w:numFmt w:val="bullet"/>
      <w:lvlText w:val="-"/>
      <w:lvlJc w:val="left"/>
      <w:pPr>
        <w:ind w:left="1080" w:hanging="360"/>
      </w:pPr>
      <w:rPr>
        <w:rFonts w:ascii="Cambria" w:eastAsia="Calibri" w:hAnsi="Cambri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37A15625"/>
    <w:multiLevelType w:val="hybridMultilevel"/>
    <w:tmpl w:val="4A5C0E46"/>
    <w:lvl w:ilvl="0" w:tplc="02E43158">
      <w:start w:val="2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8C2793"/>
    <w:multiLevelType w:val="hybridMultilevel"/>
    <w:tmpl w:val="B22A87B2"/>
    <w:lvl w:ilvl="0" w:tplc="5E741E0A">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0B04D85"/>
    <w:multiLevelType w:val="hybridMultilevel"/>
    <w:tmpl w:val="656657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F27502"/>
    <w:rsid w:val="00002A3E"/>
    <w:rsid w:val="0000511F"/>
    <w:rsid w:val="00010D99"/>
    <w:rsid w:val="0005435D"/>
    <w:rsid w:val="00067CF5"/>
    <w:rsid w:val="00072B8F"/>
    <w:rsid w:val="000750A9"/>
    <w:rsid w:val="00082086"/>
    <w:rsid w:val="00087A92"/>
    <w:rsid w:val="000A1A10"/>
    <w:rsid w:val="000A4C84"/>
    <w:rsid w:val="000B21A5"/>
    <w:rsid w:val="000B3646"/>
    <w:rsid w:val="000B635F"/>
    <w:rsid w:val="000B6672"/>
    <w:rsid w:val="000B73C9"/>
    <w:rsid w:val="000C41A3"/>
    <w:rsid w:val="000C7BC3"/>
    <w:rsid w:val="000C7C93"/>
    <w:rsid w:val="000D0015"/>
    <w:rsid w:val="000D4060"/>
    <w:rsid w:val="000E3CEC"/>
    <w:rsid w:val="000F2569"/>
    <w:rsid w:val="00100CD7"/>
    <w:rsid w:val="00116674"/>
    <w:rsid w:val="001169CA"/>
    <w:rsid w:val="00150E47"/>
    <w:rsid w:val="00160E6F"/>
    <w:rsid w:val="00190D8D"/>
    <w:rsid w:val="001A5C99"/>
    <w:rsid w:val="001B3120"/>
    <w:rsid w:val="001C58D3"/>
    <w:rsid w:val="001D121C"/>
    <w:rsid w:val="001E3860"/>
    <w:rsid w:val="001E3D14"/>
    <w:rsid w:val="001E6A9D"/>
    <w:rsid w:val="002028C6"/>
    <w:rsid w:val="002075DA"/>
    <w:rsid w:val="00214EAF"/>
    <w:rsid w:val="00215007"/>
    <w:rsid w:val="0021717F"/>
    <w:rsid w:val="00225E11"/>
    <w:rsid w:val="00226C8F"/>
    <w:rsid w:val="002411A6"/>
    <w:rsid w:val="00244895"/>
    <w:rsid w:val="00247017"/>
    <w:rsid w:val="00247ECA"/>
    <w:rsid w:val="002513C0"/>
    <w:rsid w:val="00254D54"/>
    <w:rsid w:val="00261420"/>
    <w:rsid w:val="002631D1"/>
    <w:rsid w:val="00277E8C"/>
    <w:rsid w:val="00280B07"/>
    <w:rsid w:val="00281E59"/>
    <w:rsid w:val="00292D24"/>
    <w:rsid w:val="00297E2D"/>
    <w:rsid w:val="002A53A8"/>
    <w:rsid w:val="002B36CD"/>
    <w:rsid w:val="002C04D8"/>
    <w:rsid w:val="002C3361"/>
    <w:rsid w:val="002C3CF1"/>
    <w:rsid w:val="002D43DC"/>
    <w:rsid w:val="002D4AF7"/>
    <w:rsid w:val="002E011B"/>
    <w:rsid w:val="002E6D97"/>
    <w:rsid w:val="002F4068"/>
    <w:rsid w:val="00301BE2"/>
    <w:rsid w:val="00303513"/>
    <w:rsid w:val="003077A7"/>
    <w:rsid w:val="00315479"/>
    <w:rsid w:val="00325241"/>
    <w:rsid w:val="00392983"/>
    <w:rsid w:val="003A0D19"/>
    <w:rsid w:val="003A77B5"/>
    <w:rsid w:val="003B6BA2"/>
    <w:rsid w:val="003D4CFF"/>
    <w:rsid w:val="003E3A93"/>
    <w:rsid w:val="003F31D6"/>
    <w:rsid w:val="003F6DAF"/>
    <w:rsid w:val="00462F2C"/>
    <w:rsid w:val="00470066"/>
    <w:rsid w:val="0047531E"/>
    <w:rsid w:val="004753D3"/>
    <w:rsid w:val="0047571C"/>
    <w:rsid w:val="00481CF5"/>
    <w:rsid w:val="004A67AF"/>
    <w:rsid w:val="004C5994"/>
    <w:rsid w:val="004C7FB0"/>
    <w:rsid w:val="004E0EFE"/>
    <w:rsid w:val="004E225F"/>
    <w:rsid w:val="004E3E75"/>
    <w:rsid w:val="004F63B8"/>
    <w:rsid w:val="005068EF"/>
    <w:rsid w:val="00510927"/>
    <w:rsid w:val="00515083"/>
    <w:rsid w:val="00517F13"/>
    <w:rsid w:val="005209B8"/>
    <w:rsid w:val="00526F37"/>
    <w:rsid w:val="0053695C"/>
    <w:rsid w:val="00547AC7"/>
    <w:rsid w:val="00547C6F"/>
    <w:rsid w:val="005557EC"/>
    <w:rsid w:val="00555E36"/>
    <w:rsid w:val="00563F91"/>
    <w:rsid w:val="00573837"/>
    <w:rsid w:val="005B26DF"/>
    <w:rsid w:val="005B4F3C"/>
    <w:rsid w:val="005C2969"/>
    <w:rsid w:val="005C5725"/>
    <w:rsid w:val="005D13C4"/>
    <w:rsid w:val="005D4AF4"/>
    <w:rsid w:val="005F0C91"/>
    <w:rsid w:val="005F3AF2"/>
    <w:rsid w:val="00606DC9"/>
    <w:rsid w:val="00621E2C"/>
    <w:rsid w:val="00635943"/>
    <w:rsid w:val="00643463"/>
    <w:rsid w:val="006643F9"/>
    <w:rsid w:val="006746E4"/>
    <w:rsid w:val="006802CB"/>
    <w:rsid w:val="00695E26"/>
    <w:rsid w:val="00697E7F"/>
    <w:rsid w:val="006A0270"/>
    <w:rsid w:val="006A0F4C"/>
    <w:rsid w:val="006B0D1F"/>
    <w:rsid w:val="006D5BB2"/>
    <w:rsid w:val="006E1B0C"/>
    <w:rsid w:val="006F7E64"/>
    <w:rsid w:val="00701699"/>
    <w:rsid w:val="007021AE"/>
    <w:rsid w:val="0071483F"/>
    <w:rsid w:val="00716D89"/>
    <w:rsid w:val="00726BF7"/>
    <w:rsid w:val="00740E06"/>
    <w:rsid w:val="0075394A"/>
    <w:rsid w:val="00770BB9"/>
    <w:rsid w:val="00772177"/>
    <w:rsid w:val="007743C5"/>
    <w:rsid w:val="007922A1"/>
    <w:rsid w:val="0079598E"/>
    <w:rsid w:val="007A5149"/>
    <w:rsid w:val="007A5656"/>
    <w:rsid w:val="007A69B2"/>
    <w:rsid w:val="007B5746"/>
    <w:rsid w:val="007C1088"/>
    <w:rsid w:val="007C5CD2"/>
    <w:rsid w:val="007D6C74"/>
    <w:rsid w:val="007E4127"/>
    <w:rsid w:val="00816B3E"/>
    <w:rsid w:val="0082299B"/>
    <w:rsid w:val="00833222"/>
    <w:rsid w:val="0084380C"/>
    <w:rsid w:val="00843B1F"/>
    <w:rsid w:val="00846432"/>
    <w:rsid w:val="00852C1D"/>
    <w:rsid w:val="00865A29"/>
    <w:rsid w:val="00866057"/>
    <w:rsid w:val="008809B0"/>
    <w:rsid w:val="008A050A"/>
    <w:rsid w:val="008A4D3E"/>
    <w:rsid w:val="008B16A9"/>
    <w:rsid w:val="008C6E92"/>
    <w:rsid w:val="008E3E6A"/>
    <w:rsid w:val="009079DF"/>
    <w:rsid w:val="00911070"/>
    <w:rsid w:val="0092349C"/>
    <w:rsid w:val="0093138A"/>
    <w:rsid w:val="00933438"/>
    <w:rsid w:val="009344F2"/>
    <w:rsid w:val="009408F3"/>
    <w:rsid w:val="00944FF8"/>
    <w:rsid w:val="009566F2"/>
    <w:rsid w:val="00957A9C"/>
    <w:rsid w:val="00974813"/>
    <w:rsid w:val="00976FA3"/>
    <w:rsid w:val="00980790"/>
    <w:rsid w:val="0098352C"/>
    <w:rsid w:val="00993C2F"/>
    <w:rsid w:val="009A6D88"/>
    <w:rsid w:val="009B4A55"/>
    <w:rsid w:val="009C4B4C"/>
    <w:rsid w:val="009D3550"/>
    <w:rsid w:val="009D5B3C"/>
    <w:rsid w:val="009E7054"/>
    <w:rsid w:val="00A00090"/>
    <w:rsid w:val="00A047B9"/>
    <w:rsid w:val="00A123C9"/>
    <w:rsid w:val="00A53E55"/>
    <w:rsid w:val="00A55389"/>
    <w:rsid w:val="00A57995"/>
    <w:rsid w:val="00A61839"/>
    <w:rsid w:val="00A92DAA"/>
    <w:rsid w:val="00A97703"/>
    <w:rsid w:val="00AE1F53"/>
    <w:rsid w:val="00AE2A40"/>
    <w:rsid w:val="00AF7985"/>
    <w:rsid w:val="00B0684A"/>
    <w:rsid w:val="00B17CC1"/>
    <w:rsid w:val="00B3577A"/>
    <w:rsid w:val="00B36B56"/>
    <w:rsid w:val="00B371C3"/>
    <w:rsid w:val="00B43474"/>
    <w:rsid w:val="00B72BED"/>
    <w:rsid w:val="00B76182"/>
    <w:rsid w:val="00B766F2"/>
    <w:rsid w:val="00B82B49"/>
    <w:rsid w:val="00B874E0"/>
    <w:rsid w:val="00BA68E8"/>
    <w:rsid w:val="00BB1F84"/>
    <w:rsid w:val="00BB42EB"/>
    <w:rsid w:val="00BB59D9"/>
    <w:rsid w:val="00BD2E4D"/>
    <w:rsid w:val="00BE00C4"/>
    <w:rsid w:val="00BE05F8"/>
    <w:rsid w:val="00BE5B08"/>
    <w:rsid w:val="00BF3BC4"/>
    <w:rsid w:val="00C07BA9"/>
    <w:rsid w:val="00C10708"/>
    <w:rsid w:val="00C15BD5"/>
    <w:rsid w:val="00C40A89"/>
    <w:rsid w:val="00C41374"/>
    <w:rsid w:val="00C47144"/>
    <w:rsid w:val="00C47E1F"/>
    <w:rsid w:val="00C8724A"/>
    <w:rsid w:val="00C9445F"/>
    <w:rsid w:val="00CC2822"/>
    <w:rsid w:val="00CC7B8E"/>
    <w:rsid w:val="00D035AE"/>
    <w:rsid w:val="00D100DE"/>
    <w:rsid w:val="00D1379E"/>
    <w:rsid w:val="00D16D31"/>
    <w:rsid w:val="00D16DAD"/>
    <w:rsid w:val="00D21FB1"/>
    <w:rsid w:val="00D2525F"/>
    <w:rsid w:val="00D35096"/>
    <w:rsid w:val="00D5262A"/>
    <w:rsid w:val="00D56CAE"/>
    <w:rsid w:val="00D6677D"/>
    <w:rsid w:val="00D67CDF"/>
    <w:rsid w:val="00D761CD"/>
    <w:rsid w:val="00D86F22"/>
    <w:rsid w:val="00D87E98"/>
    <w:rsid w:val="00D92DFD"/>
    <w:rsid w:val="00D93116"/>
    <w:rsid w:val="00D93D04"/>
    <w:rsid w:val="00D9543A"/>
    <w:rsid w:val="00DA04CE"/>
    <w:rsid w:val="00DA2DDC"/>
    <w:rsid w:val="00DA6AE5"/>
    <w:rsid w:val="00DB317C"/>
    <w:rsid w:val="00DB7E19"/>
    <w:rsid w:val="00E061ED"/>
    <w:rsid w:val="00E0691B"/>
    <w:rsid w:val="00E10618"/>
    <w:rsid w:val="00E11747"/>
    <w:rsid w:val="00E47F73"/>
    <w:rsid w:val="00E66752"/>
    <w:rsid w:val="00E676E0"/>
    <w:rsid w:val="00E72ADD"/>
    <w:rsid w:val="00E77E43"/>
    <w:rsid w:val="00E96EE5"/>
    <w:rsid w:val="00E97AC5"/>
    <w:rsid w:val="00EC4E3A"/>
    <w:rsid w:val="00ED1762"/>
    <w:rsid w:val="00EE6320"/>
    <w:rsid w:val="00EF08F4"/>
    <w:rsid w:val="00EF0EEB"/>
    <w:rsid w:val="00EF16B8"/>
    <w:rsid w:val="00F15484"/>
    <w:rsid w:val="00F156FC"/>
    <w:rsid w:val="00F24510"/>
    <w:rsid w:val="00F27502"/>
    <w:rsid w:val="00F27E96"/>
    <w:rsid w:val="00F423EF"/>
    <w:rsid w:val="00F51A8C"/>
    <w:rsid w:val="00F66E30"/>
    <w:rsid w:val="00F83C54"/>
    <w:rsid w:val="00FA379F"/>
    <w:rsid w:val="00FD369C"/>
    <w:rsid w:val="00FD5AE0"/>
    <w:rsid w:val="00FE407C"/>
    <w:rsid w:val="00FE443B"/>
    <w:rsid w:val="00FF6E6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56"/>
  </w:style>
  <w:style w:type="paragraph" w:styleId="Heading2">
    <w:name w:val="heading 2"/>
    <w:basedOn w:val="Normal"/>
    <w:link w:val="Heading2Char"/>
    <w:uiPriority w:val="9"/>
    <w:qFormat/>
    <w:rsid w:val="00072B8F"/>
    <w:pPr>
      <w:spacing w:before="100" w:beforeAutospacing="1" w:after="100" w:afterAutospacing="1" w:line="240" w:lineRule="auto"/>
      <w:outlineLvl w:val="1"/>
    </w:pPr>
    <w:rPr>
      <w:rFonts w:ascii="Times New Roman" w:eastAsia="Times New Roman" w:hAnsi="Times New Roman" w:cs="Times New Roman"/>
      <w:b/>
      <w:bCs/>
      <w:sz w:val="36"/>
      <w:szCs w:val="36"/>
      <w:lang w:val="hr-HR" w:eastAsia="hr-HR"/>
    </w:rPr>
  </w:style>
  <w:style w:type="paragraph" w:styleId="Heading3">
    <w:name w:val="heading 3"/>
    <w:basedOn w:val="Normal"/>
    <w:link w:val="Heading3Char"/>
    <w:uiPriority w:val="9"/>
    <w:qFormat/>
    <w:rsid w:val="00072B8F"/>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3D14"/>
    <w:pPr>
      <w:ind w:left="720"/>
      <w:contextualSpacing/>
    </w:pPr>
  </w:style>
  <w:style w:type="paragraph" w:styleId="Header">
    <w:name w:val="header"/>
    <w:basedOn w:val="Normal"/>
    <w:link w:val="HeaderChar"/>
    <w:uiPriority w:val="99"/>
    <w:unhideWhenUsed/>
    <w:rsid w:val="005D13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13C4"/>
  </w:style>
  <w:style w:type="paragraph" w:styleId="Footer">
    <w:name w:val="footer"/>
    <w:basedOn w:val="Normal"/>
    <w:link w:val="FooterChar"/>
    <w:uiPriority w:val="99"/>
    <w:unhideWhenUsed/>
    <w:rsid w:val="005D13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13C4"/>
  </w:style>
  <w:style w:type="paragraph" w:styleId="BalloonText">
    <w:name w:val="Balloon Text"/>
    <w:basedOn w:val="Normal"/>
    <w:link w:val="BalloonTextChar"/>
    <w:uiPriority w:val="99"/>
    <w:semiHidden/>
    <w:unhideWhenUsed/>
    <w:rsid w:val="005D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C4"/>
    <w:rPr>
      <w:rFonts w:ascii="Tahoma" w:hAnsi="Tahoma" w:cs="Tahoma"/>
      <w:sz w:val="16"/>
      <w:szCs w:val="16"/>
    </w:rPr>
  </w:style>
  <w:style w:type="character" w:customStyle="1" w:styleId="Heading2Char">
    <w:name w:val="Heading 2 Char"/>
    <w:basedOn w:val="DefaultParagraphFont"/>
    <w:link w:val="Heading2"/>
    <w:uiPriority w:val="9"/>
    <w:rsid w:val="00072B8F"/>
    <w:rPr>
      <w:rFonts w:ascii="Times New Roman" w:eastAsia="Times New Roman" w:hAnsi="Times New Roman" w:cs="Times New Roman"/>
      <w:b/>
      <w:bCs/>
      <w:sz w:val="36"/>
      <w:szCs w:val="36"/>
      <w:lang w:val="hr-HR" w:eastAsia="hr-HR"/>
    </w:rPr>
  </w:style>
  <w:style w:type="character" w:customStyle="1" w:styleId="Heading3Char">
    <w:name w:val="Heading 3 Char"/>
    <w:basedOn w:val="DefaultParagraphFont"/>
    <w:link w:val="Heading3"/>
    <w:uiPriority w:val="9"/>
    <w:rsid w:val="00072B8F"/>
    <w:rPr>
      <w:rFonts w:ascii="Times New Roman" w:eastAsia="Times New Roman" w:hAnsi="Times New Roman" w:cs="Times New Roman"/>
      <w:b/>
      <w:bCs/>
      <w:sz w:val="27"/>
      <w:szCs w:val="27"/>
      <w:lang w:val="hr-HR" w:eastAsia="hr-HR"/>
    </w:rPr>
  </w:style>
  <w:style w:type="paragraph" w:customStyle="1" w:styleId="Default">
    <w:name w:val="Default"/>
    <w:rsid w:val="00BF3BC4"/>
    <w:pPr>
      <w:autoSpaceDE w:val="0"/>
      <w:autoSpaceDN w:val="0"/>
      <w:adjustRightInd w:val="0"/>
      <w:spacing w:after="0" w:line="240" w:lineRule="auto"/>
    </w:pPr>
    <w:rPr>
      <w:rFonts w:ascii="Arial" w:hAnsi="Arial" w:cs="Arial"/>
      <w:color w:val="000000"/>
      <w:sz w:val="24"/>
      <w:szCs w:val="24"/>
      <w:lang w:val="hr-HR"/>
    </w:rPr>
  </w:style>
</w:styles>
</file>

<file path=word/webSettings.xml><?xml version="1.0" encoding="utf-8"?>
<w:webSettings xmlns:r="http://schemas.openxmlformats.org/officeDocument/2006/relationships" xmlns:w="http://schemas.openxmlformats.org/wordprocessingml/2006/main">
  <w:divs>
    <w:div w:id="859509947">
      <w:bodyDiv w:val="1"/>
      <w:marLeft w:val="0"/>
      <w:marRight w:val="0"/>
      <w:marTop w:val="0"/>
      <w:marBottom w:val="0"/>
      <w:divBdr>
        <w:top w:val="none" w:sz="0" w:space="0" w:color="auto"/>
        <w:left w:val="none" w:sz="0" w:space="0" w:color="auto"/>
        <w:bottom w:val="none" w:sz="0" w:space="0" w:color="auto"/>
        <w:right w:val="none" w:sz="0" w:space="0" w:color="auto"/>
      </w:divBdr>
    </w:div>
    <w:div w:id="950937038">
      <w:bodyDiv w:val="1"/>
      <w:marLeft w:val="0"/>
      <w:marRight w:val="0"/>
      <w:marTop w:val="0"/>
      <w:marBottom w:val="0"/>
      <w:divBdr>
        <w:top w:val="none" w:sz="0" w:space="0" w:color="auto"/>
        <w:left w:val="none" w:sz="0" w:space="0" w:color="auto"/>
        <w:bottom w:val="none" w:sz="0" w:space="0" w:color="auto"/>
        <w:right w:val="none" w:sz="0" w:space="0" w:color="auto"/>
      </w:divBdr>
    </w:div>
    <w:div w:id="1512528256">
      <w:bodyDiv w:val="1"/>
      <w:marLeft w:val="0"/>
      <w:marRight w:val="0"/>
      <w:marTop w:val="0"/>
      <w:marBottom w:val="0"/>
      <w:divBdr>
        <w:top w:val="none" w:sz="0" w:space="0" w:color="auto"/>
        <w:left w:val="none" w:sz="0" w:space="0" w:color="auto"/>
        <w:bottom w:val="none" w:sz="0" w:space="0" w:color="auto"/>
        <w:right w:val="none" w:sz="0" w:space="0" w:color="auto"/>
      </w:divBdr>
    </w:div>
    <w:div w:id="160441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998E-1476-4851-B236-3F63A48C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5643</Words>
  <Characters>32169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Smiljana Veselinović</dc:creator>
  <cp:lastModifiedBy>Korisnik</cp:lastModifiedBy>
  <cp:revision>10</cp:revision>
  <cp:lastPrinted>2016-09-28T07:48:00Z</cp:lastPrinted>
  <dcterms:created xsi:type="dcterms:W3CDTF">2016-10-05T09:49:00Z</dcterms:created>
  <dcterms:modified xsi:type="dcterms:W3CDTF">2016-10-14T10:28:00Z</dcterms:modified>
</cp:coreProperties>
</file>