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00"/>
        <w:rPr>
          <w:sz w:val="20"/>
        </w:rPr>
      </w:pPr>
      <w:r>
        <w:rPr>
          <w:sz w:val="20"/>
        </w:rPr>
        <w:drawing>
          <wp:inline distT="0" distB="0" distL="0" distR="0">
            <wp:extent cx="490703" cy="5545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03" cy="5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2"/>
        <w:ind w:left="311" w:right="5938" w:firstLine="641"/>
        <w:jc w:val="left"/>
        <w:rPr>
          <w:b/>
          <w:sz w:val="22"/>
        </w:rPr>
      </w:pPr>
      <w:r>
        <w:rPr>
          <w:b/>
          <w:sz w:val="22"/>
        </w:rPr>
        <w:t>REPUBLIKA HRVATSKA PRIMORSKO-GORANSKA ŽUPANIJA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spacing w:before="0"/>
        <w:ind w:left="1073" w:right="5719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759221</wp:posOffset>
            </wp:positionH>
            <wp:positionV relativeFrom="paragraph">
              <wp:posOffset>-52088</wp:posOffset>
            </wp:positionV>
            <wp:extent cx="409495" cy="4254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9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OPĆINA MATULJI JEDINSTVENI UPRAVNI ODJEL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ind w:right="6269"/>
      </w:pPr>
      <w:r>
        <w:rPr/>
        <w:t>KLASA: 100-01/20-01/0004 URBROJ: 2156/04-01-3-2-02-20-0003</w:t>
      </w:r>
    </w:p>
    <w:p>
      <w:pPr>
        <w:pStyle w:val="BodyText"/>
      </w:pPr>
      <w:r>
        <w:rPr/>
        <w:t>Matulji, 18.03.2020</w:t>
      </w:r>
    </w:p>
    <w:p>
      <w:pPr>
        <w:pStyle w:val="BodyText"/>
        <w:ind w:left="0"/>
        <w:rPr>
          <w:sz w:val="28"/>
        </w:rPr>
      </w:pPr>
    </w:p>
    <w:p>
      <w:pPr>
        <w:pStyle w:val="Title"/>
      </w:pPr>
      <w:r>
        <w:rPr/>
        <w:t>OBAVIJEST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07"/>
        <w:jc w:val="both"/>
      </w:pPr>
      <w:r>
        <w:rPr/>
        <w:t>za prijam u službu na neodređeno vrijeme u Jedinstveni upravni odjel Općine Matulji-Odsjek za komunalni sustav i prostorno planiranje na radno mjesto Stručni suradnik/ica za tehničke poslove (1 izvršitelj, m/ž), na neodređeno vrijeme uz probni rad od tri mjeseca.</w:t>
      </w:r>
    </w:p>
    <w:p>
      <w:pPr>
        <w:pStyle w:val="BodyText"/>
        <w:ind w:left="0"/>
      </w:pPr>
    </w:p>
    <w:p>
      <w:pPr>
        <w:pStyle w:val="BodyText"/>
        <w:ind w:right="108"/>
        <w:jc w:val="both"/>
      </w:pPr>
      <w:r>
        <w:rPr/>
        <w:t>U „Narodnim novinama“ broj 31 od dana 18.03.2020. godine, objavljen je natječaj za prijam u službu na neodređeno vrijeme u Jedinstveni upravni odjel Općine Matulji-Odsjek za komunalni sustav i prostorno planiranje na radno mjesto Stručni suradnik/ica za tehničke poslove (1 izvršitelj, m/ž).</w:t>
      </w:r>
    </w:p>
    <w:p>
      <w:pPr>
        <w:pStyle w:val="BodyText"/>
        <w:jc w:val="both"/>
      </w:pPr>
      <w:r>
        <w:rPr/>
        <w:t>Posljednji dan za predaju prijava na natječaj pošti, ili izravno u pisarnicu Jedinstvenog upravnog odjela</w:t>
      </w:r>
    </w:p>
    <w:p>
      <w:pPr>
        <w:pStyle w:val="BodyText"/>
        <w:spacing w:line="482" w:lineRule="auto"/>
        <w:ind w:right="3337"/>
      </w:pPr>
      <w:r>
        <w:rPr/>
        <w:t>Općine Matulji, Matulji Trg M. Tita 11., je 02. travnja 2020. godine. Opis poslova radnog mjesta Stručni suradnik/ica za tehničke poslove:</w:t>
      </w:r>
    </w:p>
    <w:p>
      <w:pPr>
        <w:tabs>
          <w:tab w:pos="833" w:val="left" w:leader="none"/>
        </w:tabs>
        <w:spacing w:before="2"/>
        <w:ind w:left="474" w:right="0" w:firstLine="0"/>
        <w:jc w:val="left"/>
        <w:rPr>
          <w:sz w:val="22"/>
        </w:rPr>
      </w:pPr>
      <w:r>
        <w:rPr>
          <w:rFonts w:ascii="Symbol" w:hAnsi="Symbol"/>
          <w:w w:val="155"/>
          <w:sz w:val="22"/>
        </w:rPr>
        <w:t></w:t>
      </w:r>
      <w:r>
        <w:rPr>
          <w:w w:val="155"/>
          <w:sz w:val="22"/>
        </w:rPr>
        <w:tab/>
      </w:r>
      <w:r>
        <w:rPr>
          <w:w w:val="105"/>
          <w:sz w:val="22"/>
        </w:rPr>
        <w:t>izrađuje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troškovnike,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prati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nadzire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izvođenje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radova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održavanju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objekata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Općine,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radi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obračune</w:t>
      </w:r>
    </w:p>
    <w:p>
      <w:pPr>
        <w:spacing w:before="38"/>
        <w:ind w:left="834" w:right="0" w:firstLine="0"/>
        <w:jc w:val="left"/>
        <w:rPr>
          <w:sz w:val="22"/>
        </w:rPr>
      </w:pPr>
      <w:r>
        <w:rPr>
          <w:sz w:val="22"/>
        </w:rPr>
        <w:t>izvedenih radova, vrši kontrolu kvalitete i izvedenih radova,</w:t>
      </w:r>
    </w:p>
    <w:p>
      <w:pPr>
        <w:tabs>
          <w:tab w:pos="833" w:val="left" w:leader="none"/>
        </w:tabs>
        <w:spacing w:line="273" w:lineRule="auto" w:before="38"/>
        <w:ind w:left="834" w:right="293" w:hanging="360"/>
        <w:jc w:val="left"/>
        <w:rPr>
          <w:sz w:val="22"/>
        </w:rPr>
      </w:pPr>
      <w:r>
        <w:rPr>
          <w:rFonts w:ascii="Symbol" w:hAnsi="Symbol"/>
          <w:w w:val="155"/>
          <w:sz w:val="22"/>
        </w:rPr>
        <w:t></w:t>
      </w:r>
      <w:r>
        <w:rPr>
          <w:w w:val="155"/>
          <w:sz w:val="22"/>
        </w:rPr>
        <w:tab/>
      </w:r>
      <w:r>
        <w:rPr>
          <w:sz w:val="22"/>
        </w:rPr>
        <w:t>vodi brigu o vatrodojavnom sustavu i drugim sustavima zaštite, održavanju službenih vozila Općine te brine oko izrade potrebnih projekata te pribavljanje dozvola i suglasnosti za radove od interesa za Općinu</w:t>
      </w:r>
      <w:r>
        <w:rPr>
          <w:spacing w:val="-2"/>
          <w:sz w:val="22"/>
        </w:rPr>
        <w:t> </w:t>
      </w:r>
      <w:r>
        <w:rPr>
          <w:sz w:val="22"/>
        </w:rPr>
        <w:t>,</w:t>
      </w:r>
    </w:p>
    <w:p>
      <w:pPr>
        <w:tabs>
          <w:tab w:pos="833" w:val="left" w:leader="none"/>
        </w:tabs>
        <w:spacing w:line="273" w:lineRule="auto" w:before="4"/>
        <w:ind w:left="834" w:right="556" w:hanging="360"/>
        <w:jc w:val="left"/>
        <w:rPr>
          <w:sz w:val="22"/>
        </w:rPr>
      </w:pPr>
      <w:r>
        <w:rPr>
          <w:rFonts w:ascii="Symbol" w:hAnsi="Symbol"/>
          <w:w w:val="155"/>
          <w:sz w:val="22"/>
        </w:rPr>
        <w:t></w:t>
      </w:r>
      <w:r>
        <w:rPr>
          <w:w w:val="155"/>
          <w:sz w:val="22"/>
        </w:rPr>
        <w:tab/>
      </w:r>
      <w:r>
        <w:rPr>
          <w:w w:val="105"/>
          <w:sz w:val="22"/>
        </w:rPr>
        <w:t>sudjeluje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u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postupcima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jednostavne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nabave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robu,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radove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usluge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vezane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uz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stambene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poslovne prostore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Općine,</w:t>
      </w:r>
    </w:p>
    <w:p>
      <w:pPr>
        <w:tabs>
          <w:tab w:pos="833" w:val="left" w:leader="none"/>
        </w:tabs>
        <w:spacing w:before="2"/>
        <w:ind w:left="474" w:right="0" w:firstLine="0"/>
        <w:jc w:val="left"/>
        <w:rPr>
          <w:sz w:val="22"/>
        </w:rPr>
      </w:pPr>
      <w:r>
        <w:rPr>
          <w:rFonts w:ascii="Symbol" w:hAnsi="Symbol"/>
          <w:w w:val="155"/>
          <w:sz w:val="22"/>
        </w:rPr>
        <w:t></w:t>
      </w:r>
      <w:r>
        <w:rPr>
          <w:w w:val="155"/>
          <w:sz w:val="22"/>
        </w:rPr>
        <w:tab/>
      </w:r>
      <w:r>
        <w:rPr>
          <w:w w:val="105"/>
          <w:sz w:val="22"/>
        </w:rPr>
        <w:t>obavlja i druge srodne poslove po nalogu pročelnika i/ili voditelja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odsjeka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right="107"/>
        <w:jc w:val="both"/>
      </w:pPr>
      <w:r>
        <w:rPr/>
        <w:t>Koeficijent složenosti poslova navedenoga radnog mjesta je 2,05 uz osnovicu za izračun plaće u  iznosu od 3.927,52 kuna. Plaću službenika čini umnožak koeficijenta složenosti poslova radnog mjesta na koje je službenik raspoređen i osnovice za izračun plaće, uvećan za 0,5% za svaku navršenu godinu radnog</w:t>
      </w:r>
      <w:r>
        <w:rPr>
          <w:spacing w:val="-1"/>
        </w:rPr>
        <w:t> </w:t>
      </w:r>
      <w:r>
        <w:rPr/>
        <w:t>staža.</w:t>
      </w:r>
    </w:p>
    <w:p>
      <w:pPr>
        <w:pStyle w:val="BodyText"/>
        <w:spacing w:before="4"/>
        <w:ind w:left="0"/>
      </w:pPr>
    </w:p>
    <w:p>
      <w:pPr>
        <w:pStyle w:val="BodyText"/>
        <w:ind w:right="107"/>
        <w:jc w:val="both"/>
      </w:pPr>
      <w:r>
        <w:rPr/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</w:t>
      </w:r>
      <w:r>
        <w:rPr>
          <w:spacing w:val="-1"/>
        </w:rPr>
        <w:t> </w:t>
      </w:r>
      <w:r>
        <w:rPr/>
        <w:t>oglas.</w:t>
      </w:r>
    </w:p>
    <w:p>
      <w:pPr>
        <w:pStyle w:val="BodyText"/>
        <w:spacing w:before="4"/>
        <w:ind w:left="0"/>
      </w:pPr>
    </w:p>
    <w:p>
      <w:pPr>
        <w:pStyle w:val="BodyText"/>
        <w:jc w:val="both"/>
      </w:pPr>
      <w:r>
        <w:rPr/>
        <w:t>Izvori za pripremanje kandidata za provjeru:</w:t>
      </w:r>
    </w:p>
    <w:p>
      <w:pPr>
        <w:pStyle w:val="BodyText"/>
        <w:spacing w:before="4"/>
        <w:ind w:left="0"/>
      </w:pPr>
    </w:p>
    <w:p>
      <w:pPr>
        <w:pStyle w:val="BodyText"/>
        <w:ind w:right="97"/>
      </w:pPr>
      <w:r>
        <w:rPr/>
        <w:t>- Zakon o lokalnoj i područnoj (regionalnoj) samoupravi („Narodne novine“ 33/01, 60/01, 129/05, 109/07, 125/08, 36/09, 150/11, 144/12, 19/13-pročišćeni tekst, 137/15-ispravak,123/17 i 98/19), članci: 1. do 6., 18. do 20., 27. do 56. c.</w:t>
      </w:r>
    </w:p>
    <w:p>
      <w:pPr>
        <w:spacing w:after="0"/>
        <w:sectPr>
          <w:type w:val="continuous"/>
          <w:pgSz w:w="11910" w:h="16840"/>
          <w:pgMar w:top="720" w:bottom="280" w:left="1020" w:right="740"/>
        </w:sectPr>
      </w:pPr>
    </w:p>
    <w:p>
      <w:pPr>
        <w:pStyle w:val="BodyText"/>
        <w:spacing w:before="76"/>
      </w:pPr>
      <w:r>
        <w:rPr/>
        <w:t>-Zakon o gradnji („Narodne novine“</w:t>
      </w:r>
      <w:hyperlink r:id="rId7">
        <w:r>
          <w:rPr/>
          <w:t>, br. 153/13, 20/17,</w:t>
        </w:r>
      </w:hyperlink>
      <w:r>
        <w:rPr/>
        <w:t> </w:t>
      </w:r>
      <w:hyperlink r:id="rId8">
        <w:r>
          <w:rPr/>
          <w:t>39/19)</w:t>
        </w:r>
      </w:hyperlink>
      <w:r>
        <w:rPr/>
        <w:t> cijeli tekst</w:t>
      </w:r>
    </w:p>
    <w:p>
      <w:pPr>
        <w:pStyle w:val="BodyText"/>
        <w:spacing w:before="4"/>
        <w:ind w:left="0"/>
      </w:pPr>
    </w:p>
    <w:p>
      <w:pPr>
        <w:pStyle w:val="BodyText"/>
        <w:ind w:right="831"/>
      </w:pPr>
      <w:r>
        <w:rPr/>
        <w:t>-Zakon o poslovima i djelatnostima prostornog uređenja i gradnje („Narodne novine“ br. 78/15, </w:t>
      </w:r>
      <w:hyperlink r:id="rId9">
        <w:r>
          <w:rPr/>
          <w:t>118/18,</w:t>
        </w:r>
      </w:hyperlink>
      <w:r>
        <w:rPr/>
        <w:t> </w:t>
      </w:r>
      <w:hyperlink r:id="rId10">
        <w:r>
          <w:rPr/>
          <w:t>110/19)</w:t>
        </w:r>
      </w:hyperlink>
      <w:r>
        <w:rPr/>
        <w:t> cijeli tekst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-Zakon o zaštiti od požara („Narodne novine“, br. 92/10) cijeli tekst</w:t>
      </w:r>
    </w:p>
    <w:p>
      <w:pPr>
        <w:pStyle w:val="BodyText"/>
        <w:spacing w:before="4"/>
        <w:ind w:left="0"/>
      </w:pPr>
    </w:p>
    <w:p>
      <w:pPr>
        <w:pStyle w:val="BodyText"/>
        <w:ind w:right="526"/>
      </w:pPr>
      <w:r>
        <w:rPr/>
        <w:t>-Pravilnik o načinu provedbe stručnog nadzora građenja, obrascu, uvjetima i načinu vođenja građevinskog dnevnika te o sadržaju završnog izvješća nadzornog inženjera („Narodne novine“ br. </w:t>
      </w:r>
      <w:hyperlink r:id="rId11">
        <w:r>
          <w:rPr/>
          <w:t>111/14,</w:t>
        </w:r>
      </w:hyperlink>
      <w:r>
        <w:rPr/>
        <w:t> </w:t>
      </w:r>
      <w:hyperlink r:id="rId12">
        <w:r>
          <w:rPr/>
          <w:t>107/15,</w:t>
        </w:r>
      </w:hyperlink>
      <w:r>
        <w:rPr/>
        <w:t> </w:t>
      </w:r>
      <w:hyperlink r:id="rId13">
        <w:r>
          <w:rPr/>
          <w:t>20/17,</w:t>
        </w:r>
      </w:hyperlink>
      <w:r>
        <w:rPr/>
        <w:t> </w:t>
      </w:r>
      <w:hyperlink r:id="rId14">
        <w:r>
          <w:rPr/>
          <w:t>98/19)</w:t>
        </w:r>
      </w:hyperlink>
      <w:r>
        <w:rPr/>
        <w:t> cijeli tekst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-Pravilnik o tehničkom pregledu građevine („Narodne novine“, br. 46/18, 98/19) cijeli tekst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-Pravilnik o sadržaju pisane Izjave izvođača o izvedenim radovima i uvjetima održavanja građevine</w:t>
      </w:r>
    </w:p>
    <w:p>
      <w:pPr>
        <w:pStyle w:val="BodyText"/>
      </w:pPr>
      <w:r>
        <w:rPr/>
        <w:t>(„Narodne novine“ br. 43/14) cijeli tekst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-Pravilnik o mjerama zaštite od požara kod građenja („Narodne novine“ br. 141/11) cijeli tekst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-Pravilnik o sigurnosti dizala („Narodne novine“ br. 20/16) cijeli tekst</w:t>
      </w:r>
    </w:p>
    <w:p>
      <w:pPr>
        <w:pStyle w:val="BodyText"/>
        <w:spacing w:before="150"/>
        <w:ind w:left="142"/>
      </w:pPr>
      <w:r>
        <w:rPr>
          <w:b/>
        </w:rPr>
        <w:t>- </w:t>
      </w:r>
      <w:r>
        <w:rPr/>
        <w:t>Tehnički propis za prozore i vrata (“Narodne novine” br. </w:t>
      </w:r>
      <w:hyperlink r:id="rId15">
        <w:r>
          <w:rPr/>
          <w:t>69/06,</w:t>
        </w:r>
      </w:hyperlink>
      <w:r>
        <w:rPr/>
        <w:t> </w:t>
      </w:r>
      <w:hyperlink r:id="rId16">
        <w:r>
          <w:rPr/>
          <w:t>76/07,</w:t>
        </w:r>
      </w:hyperlink>
      <w:r>
        <w:rPr/>
        <w:t> </w:t>
      </w:r>
      <w:hyperlink r:id="rId17">
        <w:r>
          <w:rPr/>
          <w:t>81/13,</w:t>
        </w:r>
      </w:hyperlink>
      <w:r>
        <w:rPr/>
        <w:t> </w:t>
      </w:r>
      <w:hyperlink r:id="rId18">
        <w:r>
          <w:rPr/>
          <w:t>153/13)</w:t>
        </w:r>
      </w:hyperlink>
      <w:r>
        <w:rPr/>
        <w:t> cijeli tekst</w:t>
      </w:r>
    </w:p>
    <w:p>
      <w:pPr>
        <w:pStyle w:val="BodyText"/>
        <w:spacing w:before="75"/>
        <w:ind w:right="165" w:firstLine="60"/>
      </w:pPr>
      <w:r>
        <w:rPr>
          <w:b/>
        </w:rPr>
        <w:t>-</w:t>
      </w:r>
      <w:r>
        <w:rPr/>
        <w:t>Tehnički propis za dimnjake u građevinama („Narodne novine“ br. 3/2007, 76/2007, 153/2013) cijeli tekst</w:t>
      </w:r>
    </w:p>
    <w:p>
      <w:pPr>
        <w:pStyle w:val="BodyText"/>
        <w:spacing w:before="120"/>
        <w:ind w:right="166"/>
      </w:pPr>
      <w:r>
        <w:rPr/>
        <w:t>-Tehnički propis za sustave zaštite od djelovanja munje na građevinama („Narodne novine“, br. 87/08, 33/10, 153/13) cijeli tekst</w:t>
      </w:r>
    </w:p>
    <w:p>
      <w:pPr>
        <w:pStyle w:val="BodyText"/>
        <w:spacing w:before="120"/>
      </w:pPr>
      <w:r>
        <w:rPr/>
        <w:t>-Statut Općine Matulji („Službene novine Primorsko-goranske županije“ br. 26/09, 38/09, 8/13, 17/14, 29/14, 4/15-pročišćeni tekst, 39/15 i 7/18) članci: 1. do 8., 15. do 18., 31. do 33., 43., 77. do 85.</w:t>
      </w:r>
    </w:p>
    <w:p>
      <w:pPr>
        <w:pStyle w:val="BodyText"/>
        <w:spacing w:before="4"/>
        <w:ind w:left="0"/>
      </w:pPr>
    </w:p>
    <w:p>
      <w:pPr>
        <w:pStyle w:val="BodyText"/>
        <w:ind w:right="204"/>
      </w:pPr>
      <w:r>
        <w:rPr/>
        <w:t>Web- stranica "Narodnih novina" je </w:t>
      </w:r>
      <w:hyperlink r:id="rId19">
        <w:r>
          <w:rPr>
            <w:color w:val="0000FF"/>
            <w:u w:val="single" w:color="0000FF"/>
          </w:rPr>
          <w:t>www.nn.hr</w:t>
        </w:r>
      </w:hyperlink>
      <w:r>
        <w:rPr/>
        <w:t>, web stranica "Službenih novina Primorsko- goranske županije" je </w:t>
      </w:r>
      <w:hyperlink r:id="rId20">
        <w:r>
          <w:rPr>
            <w:color w:val="0000FF"/>
            <w:u w:val="single" w:color="0000FF"/>
          </w:rPr>
          <w:t>www.sn.pgz.hr</w:t>
        </w:r>
        <w:r>
          <w:rPr>
            <w:color w:val="0000FF"/>
          </w:rPr>
          <w:t> </w:t>
        </w:r>
      </w:hyperlink>
      <w:r>
        <w:rPr/>
        <w:t>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90"/>
        <w:ind w:right="265"/>
      </w:pPr>
      <w:r>
        <w:rPr/>
        <w:t>Vrijeme održavanja prethodne provjere znanja i sposobnosti kandidata bit će objavljeno na ovoj web- stranici te na oglasnoj ploči Općine Matulji, najkasnije pet dana prije održavanja provjere.</w:t>
      </w:r>
    </w:p>
    <w:p>
      <w:pPr>
        <w:pStyle w:val="BodyText"/>
        <w:spacing w:before="4"/>
        <w:ind w:left="0"/>
      </w:pPr>
    </w:p>
    <w:p>
      <w:pPr>
        <w:pStyle w:val="BodyText"/>
        <w:ind w:right="107"/>
        <w:jc w:val="both"/>
      </w:pPr>
      <w:r>
        <w:rPr/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</w:t>
      </w:r>
    </w:p>
    <w:p>
      <w:pPr>
        <w:pStyle w:val="BodyText"/>
        <w:spacing w:before="4"/>
        <w:ind w:left="0"/>
      </w:pPr>
    </w:p>
    <w:p>
      <w:pPr>
        <w:pStyle w:val="BodyText"/>
        <w:ind w:right="106"/>
        <w:jc w:val="both"/>
      </w:pPr>
      <w:r>
        <w:rPr/>
        <w:t>Molimo podnositelje da u prijavi navedu broj fiksnoga i/ili mobilnog telefona na koje, u slučaju potrebe, mogu biti kontaktirati tijekom natječajnog postupka. Također molimo da se u prijavi navede adresa elektroničke pošte.</w:t>
      </w:r>
    </w:p>
    <w:p>
      <w:pPr>
        <w:pStyle w:val="BodyText"/>
        <w:spacing w:before="4"/>
        <w:ind w:left="0"/>
      </w:pPr>
    </w:p>
    <w:p>
      <w:pPr>
        <w:pStyle w:val="BodyText"/>
        <w:jc w:val="both"/>
      </w:pPr>
      <w:r>
        <w:rPr/>
        <w:t>Kandidat može tijekom natječajnog postupka pisanim putem povući prijavu.</w:t>
      </w:r>
    </w:p>
    <w:p>
      <w:pPr>
        <w:pStyle w:val="BodyText"/>
        <w:spacing w:before="4"/>
        <w:ind w:left="0"/>
      </w:pPr>
    </w:p>
    <w:p>
      <w:pPr>
        <w:pStyle w:val="BodyText"/>
        <w:ind w:right="107"/>
        <w:jc w:val="both"/>
      </w:pPr>
      <w:r>
        <w:rPr/>
        <w:t>Izabrani kandidat bit će upućen na liječnički pregled (utvrđivanje zdravstvene sposobnosti za obavljanje poslova radnog mjesta) na trošak Općine.</w:t>
      </w:r>
    </w:p>
    <w:p>
      <w:pPr>
        <w:pStyle w:val="BodyText"/>
        <w:spacing w:before="4"/>
        <w:ind w:left="0"/>
      </w:pPr>
    </w:p>
    <w:p>
      <w:pPr>
        <w:pStyle w:val="BodyText"/>
        <w:ind w:right="106"/>
        <w:jc w:val="both"/>
      </w:pPr>
      <w:r>
        <w:rPr/>
        <w:t>Eventualne dodatne upite možete poslati putem elektroničke pošte, na adresu: </w:t>
      </w:r>
      <w:hyperlink r:id="rId21">
        <w:r>
          <w:rPr/>
          <w:t>ronald.puharic@matulji.hr</w:t>
        </w:r>
      </w:hyperlink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4263" w:right="425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iusinfo.hr/Publication/Content.aspx?Sopi=NN2017B20A456&amp;Ver=NN2017B20A456" TargetMode="External"/><Relationship Id="rId8" Type="http://schemas.openxmlformats.org/officeDocument/2006/relationships/hyperlink" Target="http://www.iusinfo.hr/Publication/Content.aspx?Sopi=NN2019B39A802&amp;Ver=NN2019B39A802" TargetMode="External"/><Relationship Id="rId9" Type="http://schemas.openxmlformats.org/officeDocument/2006/relationships/hyperlink" Target="http://www.iusinfo.hr/Publication/Content.aspx?Sopi=NN2018B118A2350&amp;Ver=NN2018B118A2350" TargetMode="External"/><Relationship Id="rId10" Type="http://schemas.openxmlformats.org/officeDocument/2006/relationships/hyperlink" Target="http://www.iusinfo.hr/Publication/Content.aspx?Sopi=NN2019B110A2215&amp;Ver=NN2019B110A2215" TargetMode="External"/><Relationship Id="rId11" Type="http://schemas.openxmlformats.org/officeDocument/2006/relationships/hyperlink" Target="http://www.iusinfo.hr/Publication/Content.aspx?Sopi=NN2014B111A2135&amp;Ver=NN2014B111A2135" TargetMode="External"/><Relationship Id="rId12" Type="http://schemas.openxmlformats.org/officeDocument/2006/relationships/hyperlink" Target="http://www.iusinfo.hr/Publication/Content.aspx?Sopi=NN2015B107A2091&amp;Ver=NN2015B107A2091" TargetMode="External"/><Relationship Id="rId13" Type="http://schemas.openxmlformats.org/officeDocument/2006/relationships/hyperlink" Target="http://www.iusinfo.hr/Publication/Content.aspx?Sopi=NN2017B20A484&amp;Ver=NN2017B20A484" TargetMode="External"/><Relationship Id="rId14" Type="http://schemas.openxmlformats.org/officeDocument/2006/relationships/hyperlink" Target="http://www.iusinfo.hr/Publication/Content.aspx?Sopi=NN2019B98A1984&amp;Ver=NN2019B98A1984" TargetMode="External"/><Relationship Id="rId15" Type="http://schemas.openxmlformats.org/officeDocument/2006/relationships/hyperlink" Target="http://www.iusinfo.hr/Publication/Content.aspx?Sopi=NN2006B69A1661&amp;Ver=NN2006B69A1661" TargetMode="External"/><Relationship Id="rId16" Type="http://schemas.openxmlformats.org/officeDocument/2006/relationships/hyperlink" Target="http://www.iusinfo.hr/Publication/Content.aspx?Sopi=NN2007B76A2395&amp;Ver=NN2007B76A2395" TargetMode="External"/><Relationship Id="rId17" Type="http://schemas.openxmlformats.org/officeDocument/2006/relationships/hyperlink" Target="http://www.iusinfo.hr/Publication/Content.aspx?Sopi=NN2013B81A1724&amp;Ver=NN2013B81A1724" TargetMode="External"/><Relationship Id="rId18" Type="http://schemas.openxmlformats.org/officeDocument/2006/relationships/hyperlink" Target="http://www.iusinfo.hr/Publication/Content.aspx?Sopi=NN2013B153A3221&amp;Ver=NN2013B153A3221" TargetMode="External"/><Relationship Id="rId19" Type="http://schemas.openxmlformats.org/officeDocument/2006/relationships/hyperlink" Target="http://www.nn.hr/" TargetMode="External"/><Relationship Id="rId20" Type="http://schemas.openxmlformats.org/officeDocument/2006/relationships/hyperlink" Target="http://www.sn.pgz.hr/" TargetMode="External"/><Relationship Id="rId21" Type="http://schemas.openxmlformats.org/officeDocument/2006/relationships/hyperlink" Target="mailto:ronald.puharic@matulji.h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dcterms:created xsi:type="dcterms:W3CDTF">2020-03-18T11:50:30Z</dcterms:created>
  <dcterms:modified xsi:type="dcterms:W3CDTF">2020-03-18T11:50:30Z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2020-03-18T00:00:00Z</vt:filetime>
  </property>
</Properties>
</file>