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2164D9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B23494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81099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B23494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B23494" w:rsidP="00332354">
            <w:pPr>
              <w:rPr>
                <w:b/>
              </w:rPr>
            </w:pPr>
            <w:r>
              <w:rPr>
                <w:b/>
                <w:sz w:val="22"/>
              </w:rPr>
              <w:t>JEDINSTVENI UPRAVNI ODJEL</w:t>
            </w:r>
          </w:p>
        </w:tc>
      </w:tr>
      <w:tr w:rsidR="002164D9" w:rsidTr="000F45A1">
        <w:tc>
          <w:tcPr>
            <w:tcW w:w="4827" w:type="dxa"/>
            <w:gridSpan w:val="2"/>
          </w:tcPr>
          <w:p w:rsidR="00D43FE0" w:rsidRPr="00344EA2" w:rsidRDefault="00B23494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100-01/18-01/0022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100-01/19-01/0024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B23494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9-0004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2156/04-01-3-2-02-19-0003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B23494" w:rsidP="00795CF9">
            <w:r w:rsidRPr="00344EA2">
              <w:t xml:space="preserve">Matulji,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11.01.2019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18.12.2019</w:t>
            </w:r>
            <w:r w:rsidRPr="00344EA2">
              <w:fldChar w:fldCharType="end"/>
            </w:r>
            <w:bookmarkEnd w:id="2"/>
            <w:r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B53E19" w:rsidRPr="00B9693D" w:rsidRDefault="00B23494" w:rsidP="00B53E19">
      <w:pPr>
        <w:jc w:val="center"/>
        <w:rPr>
          <w:b/>
          <w:sz w:val="28"/>
          <w:szCs w:val="28"/>
        </w:rPr>
      </w:pPr>
      <w:r w:rsidRPr="00B9693D">
        <w:rPr>
          <w:b/>
          <w:sz w:val="28"/>
          <w:szCs w:val="28"/>
        </w:rPr>
        <w:t>OBAVIJEST</w:t>
      </w:r>
    </w:p>
    <w:p w:rsidR="00B53E19" w:rsidRDefault="00B53E19" w:rsidP="00B53E19">
      <w:pPr>
        <w:jc w:val="center"/>
        <w:rPr>
          <w:b/>
        </w:rPr>
      </w:pPr>
    </w:p>
    <w:p w:rsidR="00B53E19" w:rsidRPr="00B9693D" w:rsidRDefault="00B23494" w:rsidP="00B53E19">
      <w:pPr>
        <w:jc w:val="both"/>
      </w:pPr>
      <w:r w:rsidRPr="00B9693D">
        <w:t xml:space="preserve">za prijam u službu na neodređeno vrijeme u Jedinstveni upravni odjel Općine Matulji-Odsjek za </w:t>
      </w:r>
      <w:r w:rsidR="00903FF8">
        <w:t>komunalni sustav</w:t>
      </w:r>
      <w:r w:rsidRPr="00B9693D">
        <w:t xml:space="preserve"> na radno mjesto </w:t>
      </w:r>
      <w:r w:rsidR="00903FF8">
        <w:t>Viši savjetnik za tehničke poslove i investicije (1 izvršitelj m/ž), na neodređeno vrijeme uz probni rad od tri mjeseca.</w:t>
      </w:r>
    </w:p>
    <w:p w:rsidR="00B53E19" w:rsidRPr="00B9693D" w:rsidRDefault="00B53E19" w:rsidP="00B53E19">
      <w:pPr>
        <w:jc w:val="center"/>
      </w:pPr>
    </w:p>
    <w:p w:rsidR="00B53E19" w:rsidRPr="00B9693D" w:rsidRDefault="00B23494" w:rsidP="00B53E19">
      <w:pPr>
        <w:jc w:val="both"/>
      </w:pPr>
      <w:r w:rsidRPr="00B9693D">
        <w:t>U „Narodnim novinama“</w:t>
      </w:r>
      <w:r w:rsidR="00903FF8">
        <w:t xml:space="preserve"> broj</w:t>
      </w:r>
      <w:r w:rsidR="00C31530">
        <w:t xml:space="preserve"> 124 od </w:t>
      </w:r>
      <w:r w:rsidR="00B9693D">
        <w:t xml:space="preserve">dana </w:t>
      </w:r>
      <w:r w:rsidR="00C31530">
        <w:t>18.12</w:t>
      </w:r>
      <w:r w:rsidRPr="00B9693D">
        <w:t>.201</w:t>
      </w:r>
      <w:r w:rsidR="00B9693D">
        <w:t>9</w:t>
      </w:r>
      <w:r w:rsidRPr="00B9693D">
        <w:t>. godine, objavljen je natječaj za prijam u službu na neodređeno vrijeme u Jedinstveni upravni odjel Općine Matulji-</w:t>
      </w:r>
      <w:r w:rsidR="00C31530" w:rsidRPr="00C31530">
        <w:t xml:space="preserve"> </w:t>
      </w:r>
      <w:r w:rsidR="00C31530" w:rsidRPr="00B9693D">
        <w:t xml:space="preserve">Odsjek za </w:t>
      </w:r>
      <w:r w:rsidR="00C31530">
        <w:t>komunalni sustav</w:t>
      </w:r>
      <w:r w:rsidR="00C31530" w:rsidRPr="00B9693D">
        <w:t xml:space="preserve"> na radno mjesto </w:t>
      </w:r>
      <w:r w:rsidR="00C31530">
        <w:t>Viši savjetnik za tehničke poslove i investicije (1 izvršitelj m/ž)</w:t>
      </w:r>
    </w:p>
    <w:p w:rsidR="00B53E19" w:rsidRPr="00B9693D" w:rsidRDefault="00B23494" w:rsidP="00B53E19">
      <w:pPr>
        <w:jc w:val="both"/>
      </w:pPr>
      <w:r w:rsidRPr="00B9693D">
        <w:t xml:space="preserve">Posljednji dan za predaju prijava na natječaj pošti, ili </w:t>
      </w:r>
      <w:r w:rsidR="00C31530">
        <w:t>izravno u pisarnicu J</w:t>
      </w:r>
      <w:r w:rsidRPr="00B9693D">
        <w:t>edinstvenog upr</w:t>
      </w:r>
      <w:r w:rsidR="00B9693D">
        <w:t>avnog odjela Općine Matulji</w:t>
      </w:r>
      <w:r w:rsidR="00C31530">
        <w:t>, Matulji Trg M. Tita 11.,</w:t>
      </w:r>
      <w:r w:rsidR="00B9693D">
        <w:t xml:space="preserve"> je </w:t>
      </w:r>
      <w:r w:rsidR="00C31530">
        <w:t>02.</w:t>
      </w:r>
      <w:r w:rsidRPr="00B9693D">
        <w:t xml:space="preserve"> siječnja 20</w:t>
      </w:r>
      <w:r w:rsidR="00C31530">
        <w:t>20</w:t>
      </w:r>
      <w:r w:rsidRPr="00B9693D">
        <w:t>. godine.</w:t>
      </w:r>
    </w:p>
    <w:p w:rsidR="00B53E19" w:rsidRDefault="00B23494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 xml:space="preserve">Opis poslova radnog mjesta </w:t>
      </w:r>
      <w:r w:rsidR="00C31530">
        <w:t>Viši savjetnik za tehničke poslove i investicije</w:t>
      </w:r>
      <w:r w:rsidRPr="00B9693D">
        <w:rPr>
          <w:rFonts w:eastAsia="Times New Roman"/>
          <w:kern w:val="0"/>
          <w:lang w:eastAsia="hr-HR"/>
        </w:rPr>
        <w:t>:</w:t>
      </w:r>
    </w:p>
    <w:p w:rsidR="00C31530" w:rsidRPr="00857E10" w:rsidRDefault="00B23494" w:rsidP="00C3153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57E10">
        <w:rPr>
          <w:rFonts w:ascii="Times New Roman" w:eastAsia="Times New Roman" w:hAnsi="Times New Roman" w:cs="Times New Roman"/>
        </w:rPr>
        <w:t>brine o tekućem i investicionom održavanju poslovnih i stambenih prostora, prati i nadzire izvođenje radova, izrađuje troškovnike i obračun radova, surađuje sa pružate</w:t>
      </w:r>
      <w:r w:rsidRPr="00857E10">
        <w:rPr>
          <w:rFonts w:ascii="Times New Roman" w:eastAsia="Times New Roman" w:hAnsi="Times New Roman" w:cs="Times New Roman"/>
        </w:rPr>
        <w:t>ljima usluga održavanja objekata i prostora Općine te nadzire njihov rad (domar i čistačice) te obavlja poslove primopredaje poslovnog i stamben</w:t>
      </w:r>
      <w:r>
        <w:rPr>
          <w:rFonts w:ascii="Times New Roman" w:eastAsia="Times New Roman" w:hAnsi="Times New Roman" w:cs="Times New Roman"/>
        </w:rPr>
        <w:t xml:space="preserve">og prostora, </w:t>
      </w:r>
    </w:p>
    <w:p w:rsidR="00C31530" w:rsidRPr="00857E10" w:rsidRDefault="00B23494" w:rsidP="00C3153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57E10">
        <w:rPr>
          <w:rFonts w:ascii="Times New Roman" w:eastAsia="Times New Roman" w:hAnsi="Times New Roman" w:cs="Times New Roman"/>
        </w:rPr>
        <w:t>sudjeluje u pripremi investicija u dugotrajnu imovinu, surađuje sa proj</w:t>
      </w:r>
      <w:r>
        <w:rPr>
          <w:rFonts w:ascii="Times New Roman" w:eastAsia="Times New Roman" w:hAnsi="Times New Roman" w:cs="Times New Roman"/>
        </w:rPr>
        <w:t>e</w:t>
      </w:r>
      <w:r w:rsidRPr="00857E10">
        <w:rPr>
          <w:rFonts w:ascii="Times New Roman" w:eastAsia="Times New Roman" w:hAnsi="Times New Roman" w:cs="Times New Roman"/>
        </w:rPr>
        <w:t>ktantima u izradi projekta</w:t>
      </w:r>
      <w:r w:rsidRPr="00857E10">
        <w:rPr>
          <w:rFonts w:ascii="Times New Roman" w:eastAsia="Times New Roman" w:hAnsi="Times New Roman" w:cs="Times New Roman"/>
        </w:rPr>
        <w:t>, vrši nadzor nad</w:t>
      </w:r>
      <w:r>
        <w:rPr>
          <w:rFonts w:ascii="Times New Roman" w:eastAsia="Times New Roman" w:hAnsi="Times New Roman" w:cs="Times New Roman"/>
        </w:rPr>
        <w:t xml:space="preserve"> izgradnjom i obračunom radova </w:t>
      </w:r>
      <w:r w:rsidRPr="00857E10">
        <w:rPr>
          <w:rFonts w:ascii="Times New Roman" w:eastAsia="Times New Roman" w:hAnsi="Times New Roman" w:cs="Times New Roman"/>
        </w:rPr>
        <w:t xml:space="preserve"> </w:t>
      </w:r>
    </w:p>
    <w:p w:rsidR="00C31530" w:rsidRPr="00857E10" w:rsidRDefault="00B23494" w:rsidP="00C3153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57E10">
        <w:rPr>
          <w:rFonts w:ascii="Times New Roman" w:eastAsia="Times New Roman" w:hAnsi="Times New Roman" w:cs="Times New Roman"/>
        </w:rPr>
        <w:t>vodi evidenciju poslovnih i stambenih prostora te iz</w:t>
      </w:r>
      <w:r>
        <w:rPr>
          <w:rFonts w:ascii="Times New Roman" w:eastAsia="Times New Roman" w:hAnsi="Times New Roman" w:cs="Times New Roman"/>
        </w:rPr>
        <w:t xml:space="preserve">rađuje plan nužnih ulaganja </w:t>
      </w:r>
    </w:p>
    <w:p w:rsidR="00C31530" w:rsidRPr="00857E10" w:rsidRDefault="00B23494" w:rsidP="00C3153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57E10">
        <w:rPr>
          <w:rFonts w:ascii="Times New Roman" w:eastAsia="Times New Roman" w:hAnsi="Times New Roman" w:cs="Times New Roman"/>
        </w:rPr>
        <w:t xml:space="preserve">sudjeluje u postupcima javne nabave za robu, </w:t>
      </w:r>
      <w:r>
        <w:rPr>
          <w:rFonts w:ascii="Times New Roman" w:eastAsia="Times New Roman" w:hAnsi="Times New Roman" w:cs="Times New Roman"/>
        </w:rPr>
        <w:t>radove i usluge vezane uz stambe</w:t>
      </w:r>
      <w:r w:rsidRPr="00857E10"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</w:rPr>
        <w:t xml:space="preserve">i poslovne prostore Općine </w:t>
      </w:r>
    </w:p>
    <w:p w:rsidR="00C31530" w:rsidRPr="00857E10" w:rsidRDefault="00B23494" w:rsidP="00C3153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57E10">
        <w:rPr>
          <w:rFonts w:ascii="Times New Roman" w:eastAsia="Times New Roman" w:hAnsi="Times New Roman" w:cs="Times New Roman"/>
        </w:rPr>
        <w:t xml:space="preserve">vodi brigu o </w:t>
      </w:r>
      <w:r w:rsidRPr="00857E10">
        <w:rPr>
          <w:rFonts w:ascii="Times New Roman" w:eastAsia="Times New Roman" w:hAnsi="Times New Roman" w:cs="Times New Roman"/>
        </w:rPr>
        <w:t>vatrodojavnom sustavu</w:t>
      </w:r>
      <w:r>
        <w:rPr>
          <w:rFonts w:ascii="Times New Roman" w:eastAsia="Times New Roman" w:hAnsi="Times New Roman" w:cs="Times New Roman"/>
        </w:rPr>
        <w:t xml:space="preserve"> i drugim sustavima zaštite </w:t>
      </w:r>
    </w:p>
    <w:p w:rsidR="00C31530" w:rsidRPr="00C31530" w:rsidRDefault="00B23494" w:rsidP="00C3153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57E10">
        <w:rPr>
          <w:rFonts w:ascii="Times New Roman" w:eastAsia="Times New Roman" w:hAnsi="Times New Roman" w:cs="Times New Roman"/>
        </w:rPr>
        <w:t>obavlja i druge srodne poslove po nalogu Općinskog načelnika, zamjenika Općinskog načelnika, proč</w:t>
      </w:r>
      <w:r>
        <w:rPr>
          <w:rFonts w:ascii="Times New Roman" w:eastAsia="Times New Roman" w:hAnsi="Times New Roman" w:cs="Times New Roman"/>
        </w:rPr>
        <w:t xml:space="preserve">elnika i voditelja Odsjeka </w:t>
      </w:r>
    </w:p>
    <w:p w:rsidR="00B53E19" w:rsidRPr="00B9693D" w:rsidRDefault="00B23494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 xml:space="preserve">Koeficijent složenosti poslova navedenoga radnog mjesta je </w:t>
      </w:r>
      <w:r w:rsidR="00C31530">
        <w:rPr>
          <w:rFonts w:eastAsia="Times New Roman"/>
          <w:kern w:val="0"/>
          <w:lang w:eastAsia="hr-HR"/>
        </w:rPr>
        <w:t>2,30</w:t>
      </w:r>
      <w:r w:rsidRPr="00B9693D">
        <w:rPr>
          <w:rFonts w:eastAsia="Times New Roman"/>
          <w:kern w:val="0"/>
          <w:lang w:eastAsia="hr-HR"/>
        </w:rPr>
        <w:t xml:space="preserve"> uz osnovicu za iz</w:t>
      </w:r>
      <w:r w:rsidRPr="00B9693D">
        <w:rPr>
          <w:rFonts w:eastAsia="Times New Roman"/>
          <w:kern w:val="0"/>
          <w:lang w:eastAsia="hr-HR"/>
        </w:rPr>
        <w:t>račun plaće u iznosu od 3.</w:t>
      </w:r>
      <w:r w:rsidR="00B9693D">
        <w:rPr>
          <w:rFonts w:eastAsia="Times New Roman"/>
          <w:kern w:val="0"/>
          <w:lang w:eastAsia="hr-HR"/>
        </w:rPr>
        <w:t>927</w:t>
      </w:r>
      <w:r w:rsidRPr="00B9693D">
        <w:rPr>
          <w:rFonts w:eastAsia="Times New Roman"/>
          <w:kern w:val="0"/>
          <w:lang w:eastAsia="hr-HR"/>
        </w:rPr>
        <w:t>,</w:t>
      </w:r>
      <w:r w:rsidR="00B9693D">
        <w:rPr>
          <w:rFonts w:eastAsia="Times New Roman"/>
          <w:kern w:val="0"/>
          <w:lang w:eastAsia="hr-HR"/>
        </w:rPr>
        <w:t>52</w:t>
      </w:r>
      <w:r w:rsidRPr="00B9693D">
        <w:rPr>
          <w:rFonts w:eastAsia="Times New Roman"/>
          <w:kern w:val="0"/>
          <w:lang w:eastAsia="hr-HR"/>
        </w:rPr>
        <w:t xml:space="preserve"> kuna. Plaću službenika čini umnožak koeficijenta složenosti poslova radnog mjesta na koje je službenik raspoređen i osnovice za izračun plaće, uvećan za 0,5% za svaku navršenu godinu radnog staža.</w:t>
      </w:r>
    </w:p>
    <w:p w:rsidR="00B53E19" w:rsidRPr="00B9693D" w:rsidRDefault="00B23494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Prethodna provjera znanja i sposobnosti kandidata obuhvaća pisano testiranje i intervju. Za svaki dio provjere kandidatima se dodjeljuje broj bodova od 1 do 10. Intervju se provodi samo s kandidatima koji su ostvarili najmanje 50% bodova na pisanom testira</w:t>
      </w:r>
      <w:r w:rsidRPr="00B9693D">
        <w:rPr>
          <w:rFonts w:eastAsia="Times New Roman"/>
          <w:kern w:val="0"/>
          <w:lang w:eastAsia="hr-HR"/>
        </w:rPr>
        <w:t>nju. Smatra se da je kandidat koji nije pristupio prethodnoj provjeri znanja povukao prijavu na oglas.</w:t>
      </w:r>
    </w:p>
    <w:p w:rsidR="00B53E19" w:rsidRPr="00B9693D" w:rsidRDefault="00B23494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Izvori za pripremanje kandidata za provjeru:</w:t>
      </w:r>
    </w:p>
    <w:p w:rsidR="00B53E19" w:rsidRDefault="00B23494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lastRenderedPageBreak/>
        <w:t>-</w:t>
      </w:r>
      <w:r w:rsidR="00B9693D">
        <w:rPr>
          <w:rFonts w:eastAsia="Times New Roman"/>
          <w:kern w:val="0"/>
          <w:lang w:eastAsia="hr-HR"/>
        </w:rPr>
        <w:t xml:space="preserve"> </w:t>
      </w:r>
      <w:r w:rsidRPr="00B9693D">
        <w:rPr>
          <w:rFonts w:eastAsia="Times New Roman"/>
          <w:kern w:val="0"/>
          <w:lang w:eastAsia="hr-HR"/>
        </w:rPr>
        <w:t>Zakon o lokalnoj i područ</w:t>
      </w:r>
      <w:r w:rsidR="003232CA">
        <w:rPr>
          <w:rFonts w:eastAsia="Times New Roman"/>
          <w:kern w:val="0"/>
          <w:lang w:eastAsia="hr-HR"/>
        </w:rPr>
        <w:t>noj (regionalnoj) samoupravi („Narodne novine“</w:t>
      </w:r>
      <w:r w:rsidRPr="00B9693D">
        <w:rPr>
          <w:rFonts w:eastAsia="Times New Roman"/>
          <w:kern w:val="0"/>
          <w:lang w:eastAsia="hr-HR"/>
        </w:rPr>
        <w:t xml:space="preserve"> 33/01, 60/01, 129/05, 109/07, 125/</w:t>
      </w:r>
      <w:r w:rsidRPr="00B9693D">
        <w:rPr>
          <w:rFonts w:eastAsia="Times New Roman"/>
          <w:kern w:val="0"/>
          <w:lang w:eastAsia="hr-HR"/>
        </w:rPr>
        <w:t>08, 36/09, 150</w:t>
      </w:r>
      <w:r w:rsidR="00C31530">
        <w:rPr>
          <w:rFonts w:eastAsia="Times New Roman"/>
          <w:kern w:val="0"/>
          <w:lang w:eastAsia="hr-HR"/>
        </w:rPr>
        <w:t>/11, 144/12, 19/13-pročišćeni tekst, 137/15-ispravak,</w:t>
      </w:r>
      <w:r w:rsidRPr="00B9693D">
        <w:rPr>
          <w:rFonts w:eastAsia="Times New Roman"/>
          <w:kern w:val="0"/>
          <w:lang w:eastAsia="hr-HR"/>
        </w:rPr>
        <w:t>123/17</w:t>
      </w:r>
      <w:r w:rsidR="00C31530">
        <w:rPr>
          <w:rFonts w:eastAsia="Times New Roman"/>
          <w:kern w:val="0"/>
          <w:lang w:eastAsia="hr-HR"/>
        </w:rPr>
        <w:t xml:space="preserve"> i 98/19</w:t>
      </w:r>
      <w:r w:rsidRPr="00B9693D">
        <w:rPr>
          <w:rFonts w:eastAsia="Times New Roman"/>
          <w:kern w:val="0"/>
          <w:lang w:eastAsia="hr-HR"/>
        </w:rPr>
        <w:t>), članci</w:t>
      </w:r>
      <w:r w:rsidR="008F7E29">
        <w:rPr>
          <w:rFonts w:eastAsia="Times New Roman"/>
          <w:kern w:val="0"/>
          <w:lang w:eastAsia="hr-HR"/>
        </w:rPr>
        <w:t>:</w:t>
      </w:r>
      <w:r w:rsidRPr="00B9693D">
        <w:rPr>
          <w:rFonts w:eastAsia="Times New Roman"/>
          <w:kern w:val="0"/>
          <w:lang w:eastAsia="hr-HR"/>
        </w:rPr>
        <w:t xml:space="preserve"> 1. do 6., 18. do 20., 27. do 56. c</w:t>
      </w:r>
      <w:r w:rsidR="008F7E29">
        <w:rPr>
          <w:rFonts w:eastAsia="Times New Roman"/>
          <w:kern w:val="0"/>
          <w:lang w:eastAsia="hr-HR"/>
        </w:rPr>
        <w:t>.</w:t>
      </w:r>
    </w:p>
    <w:p w:rsidR="00C31530" w:rsidRDefault="00B23494" w:rsidP="00C31530">
      <w:pPr>
        <w:widowControl/>
        <w:suppressAutoHyphens w:val="0"/>
        <w:spacing w:before="100" w:beforeAutospacing="1" w:after="100" w:afterAutospacing="1"/>
      </w:pPr>
      <w:r>
        <w:rPr>
          <w:rFonts w:eastAsia="Times New Roman"/>
          <w:kern w:val="0"/>
          <w:lang w:eastAsia="hr-HR"/>
        </w:rPr>
        <w:t>-Zakon o gradnji (</w:t>
      </w:r>
      <w:r w:rsidR="003232CA">
        <w:rPr>
          <w:rFonts w:eastAsia="Times New Roman"/>
          <w:kern w:val="0"/>
          <w:lang w:eastAsia="hr-HR"/>
        </w:rPr>
        <w:t>„</w:t>
      </w:r>
      <w:r>
        <w:rPr>
          <w:rFonts w:eastAsia="Times New Roman"/>
          <w:kern w:val="0"/>
          <w:lang w:eastAsia="hr-HR"/>
        </w:rPr>
        <w:t>Narodne novine</w:t>
      </w:r>
      <w:r w:rsidR="003232CA">
        <w:rPr>
          <w:rFonts w:eastAsia="Times New Roman"/>
          <w:kern w:val="0"/>
          <w:lang w:eastAsia="hr-HR"/>
        </w:rPr>
        <w:t>“</w:t>
      </w:r>
      <w:r>
        <w:rPr>
          <w:rFonts w:eastAsia="Times New Roman"/>
          <w:kern w:val="0"/>
          <w:lang w:eastAsia="hr-HR"/>
        </w:rPr>
        <w:t xml:space="preserve">, br. 153/13, </w:t>
      </w:r>
      <w:hyperlink r:id="rId10" w:tooltip="Zakon o izmjenama i dopunama Zakona o gradnji" w:history="1">
        <w:r>
          <w:rPr>
            <w:rStyle w:val="Hyperlink"/>
            <w:color w:val="auto"/>
            <w:u w:val="none"/>
            <w:shd w:val="clear" w:color="auto" w:fill="FFFFFF"/>
          </w:rPr>
          <w:t>20/</w:t>
        </w:r>
        <w:r w:rsidRPr="00C31530">
          <w:rPr>
            <w:rStyle w:val="Hyperlink"/>
            <w:color w:val="auto"/>
            <w:u w:val="none"/>
            <w:shd w:val="clear" w:color="auto" w:fill="FFFFFF"/>
          </w:rPr>
          <w:t>17</w:t>
        </w:r>
      </w:hyperlink>
      <w:r w:rsidRPr="00C31530">
        <w:rPr>
          <w:shd w:val="clear" w:color="auto" w:fill="FFFFFF"/>
        </w:rPr>
        <w:t>, </w:t>
      </w:r>
      <w:hyperlink r:id="rId11" w:tooltip="Zakon o izmjenama i dopunama Zakona o gradnji" w:history="1">
        <w:r>
          <w:rPr>
            <w:rStyle w:val="Hyperlink"/>
            <w:color w:val="auto"/>
            <w:u w:val="none"/>
            <w:shd w:val="clear" w:color="auto" w:fill="FFFFFF"/>
          </w:rPr>
          <w:t>39/</w:t>
        </w:r>
        <w:r w:rsidRPr="00C31530">
          <w:rPr>
            <w:rStyle w:val="Hyperlink"/>
            <w:color w:val="auto"/>
            <w:u w:val="none"/>
            <w:shd w:val="clear" w:color="auto" w:fill="FFFFFF"/>
          </w:rPr>
          <w:t>19</w:t>
        </w:r>
      </w:hyperlink>
      <w:r>
        <w:t>) cijeli tekst</w:t>
      </w:r>
    </w:p>
    <w:p w:rsidR="00C31530" w:rsidRPr="00C31530" w:rsidRDefault="00B23494" w:rsidP="00B53E19">
      <w:pPr>
        <w:widowControl/>
        <w:suppressAutoHyphens w:val="0"/>
        <w:spacing w:before="100" w:beforeAutospacing="1" w:after="100" w:afterAutospacing="1"/>
      </w:pPr>
      <w:r>
        <w:t>-Zakon o poslovima i djelatnostima prostornog uređenja i gradnje (</w:t>
      </w:r>
      <w:r w:rsidR="003232CA">
        <w:t>„</w:t>
      </w:r>
      <w:r>
        <w:t>Narodne novine</w:t>
      </w:r>
      <w:r w:rsidR="003232CA">
        <w:t>“</w:t>
      </w:r>
      <w:r>
        <w:t xml:space="preserve"> br. 78/15, </w:t>
      </w:r>
      <w:hyperlink r:id="rId12" w:tooltip="Zakon o izmjenama i dopunama Zakona o poslovima i djelatnostima prostornog uređenja i gradnje" w:history="1">
        <w:r>
          <w:rPr>
            <w:rStyle w:val="Hyperlink"/>
            <w:color w:val="auto"/>
            <w:u w:val="none"/>
            <w:shd w:val="clear" w:color="auto" w:fill="FFFFFF"/>
          </w:rPr>
          <w:t>118/</w:t>
        </w:r>
        <w:r w:rsidRPr="00C31530">
          <w:rPr>
            <w:rStyle w:val="Hyperlink"/>
            <w:color w:val="auto"/>
            <w:u w:val="none"/>
            <w:shd w:val="clear" w:color="auto" w:fill="FFFFFF"/>
          </w:rPr>
          <w:t>18</w:t>
        </w:r>
      </w:hyperlink>
      <w:r w:rsidRPr="00C31530">
        <w:rPr>
          <w:shd w:val="clear" w:color="auto" w:fill="FFFFFF"/>
        </w:rPr>
        <w:t>, </w:t>
      </w:r>
      <w:hyperlink r:id="rId13" w:tooltip="Zakon o izmjenama i dopunama Zakona o poslovima i djelatnostima prostornog uređenja i gradnje" w:history="1">
        <w:r>
          <w:rPr>
            <w:rStyle w:val="Hyperlink"/>
            <w:color w:val="auto"/>
            <w:u w:val="none"/>
            <w:shd w:val="clear" w:color="auto" w:fill="FFFFFF"/>
          </w:rPr>
          <w:t>110/</w:t>
        </w:r>
        <w:r w:rsidRPr="00C31530">
          <w:rPr>
            <w:rStyle w:val="Hyperlink"/>
            <w:color w:val="auto"/>
            <w:u w:val="none"/>
            <w:shd w:val="clear" w:color="auto" w:fill="FFFFFF"/>
          </w:rPr>
          <w:t>19</w:t>
        </w:r>
      </w:hyperlink>
      <w:r>
        <w:t>) cijeli tekst</w:t>
      </w:r>
    </w:p>
    <w:p w:rsidR="003232CA" w:rsidRDefault="00B23494" w:rsidP="003232CA">
      <w:pPr>
        <w:widowControl/>
        <w:suppressAutoHyphens w:val="0"/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-Zakon o zaštiti od požara („Narodne novine“, br. 92/10) cijeli tekst</w:t>
      </w:r>
    </w:p>
    <w:p w:rsidR="00C31530" w:rsidRDefault="00B23494" w:rsidP="00B53E19">
      <w:pPr>
        <w:widowControl/>
        <w:suppressAutoHyphens w:val="0"/>
        <w:spacing w:before="100" w:beforeAutospacing="1" w:after="100" w:afterAutospacing="1"/>
        <w:rPr>
          <w:color w:val="000000" w:themeColor="text1"/>
        </w:rPr>
      </w:pPr>
      <w:r>
        <w:rPr>
          <w:rFonts w:eastAsia="Calibri"/>
          <w:kern w:val="0"/>
          <w:lang w:eastAsia="en-US"/>
        </w:rPr>
        <w:t>-</w:t>
      </w:r>
      <w:r w:rsidRPr="00C31530">
        <w:rPr>
          <w:rFonts w:eastAsia="Calibri"/>
          <w:color w:val="000000" w:themeColor="text1"/>
          <w:kern w:val="0"/>
          <w:lang w:eastAsia="en-US"/>
        </w:rPr>
        <w:t>Pravilnik o načinu provedbe stručnog nadzora građenja, obrascu, uvjetima i načinu vođenja građevi</w:t>
      </w:r>
      <w:r w:rsidRPr="00C31530">
        <w:rPr>
          <w:rFonts w:eastAsia="Calibri"/>
          <w:color w:val="000000" w:themeColor="text1"/>
          <w:kern w:val="0"/>
          <w:lang w:eastAsia="en-US"/>
        </w:rPr>
        <w:t>nskog dnevnika te o sadržaju završnog izvješća nadzornog inženjera (</w:t>
      </w:r>
      <w:r w:rsidR="003232CA">
        <w:rPr>
          <w:rFonts w:eastAsia="Calibri"/>
          <w:color w:val="000000" w:themeColor="text1"/>
          <w:kern w:val="0"/>
          <w:lang w:eastAsia="en-US"/>
        </w:rPr>
        <w:t>„</w:t>
      </w:r>
      <w:r w:rsidRPr="00C31530">
        <w:rPr>
          <w:rFonts w:eastAsia="Calibri"/>
          <w:color w:val="000000" w:themeColor="text1"/>
          <w:kern w:val="0"/>
          <w:lang w:eastAsia="en-US"/>
        </w:rPr>
        <w:t>Narodne novine</w:t>
      </w:r>
      <w:r w:rsidR="003232CA">
        <w:rPr>
          <w:rFonts w:eastAsia="Calibri"/>
          <w:color w:val="000000" w:themeColor="text1"/>
          <w:kern w:val="0"/>
          <w:lang w:eastAsia="en-US"/>
        </w:rPr>
        <w:t>“</w:t>
      </w:r>
      <w:r w:rsidRPr="00C31530">
        <w:rPr>
          <w:rFonts w:eastAsia="Calibri"/>
          <w:color w:val="000000" w:themeColor="text1"/>
          <w:kern w:val="0"/>
          <w:lang w:eastAsia="en-US"/>
        </w:rPr>
        <w:t xml:space="preserve"> br.</w:t>
      </w:r>
      <w:r w:rsidRPr="00C31530">
        <w:rPr>
          <w:color w:val="000000" w:themeColor="text1"/>
        </w:rPr>
        <w:t xml:space="preserve"> </w:t>
      </w:r>
      <w:hyperlink r:id="rId14" w:tooltip="Pravilnik o načinu provedbe stručnog nadzora građenja, obrascu, uvjetima i načinu vođenja građevinskog dnevnika te o sadržaju završnog izvješća nadzornog inženjera" w:history="1">
        <w:r>
          <w:rPr>
            <w:rStyle w:val="Hyperlink"/>
            <w:color w:val="000000" w:themeColor="text1"/>
            <w:u w:val="none"/>
            <w:shd w:val="clear" w:color="auto" w:fill="FFFFFF"/>
          </w:rPr>
          <w:t>111/</w:t>
        </w:r>
        <w:r w:rsidRPr="00C31530">
          <w:rPr>
            <w:rStyle w:val="Hyperlink"/>
            <w:color w:val="000000" w:themeColor="text1"/>
            <w:u w:val="none"/>
            <w:shd w:val="clear" w:color="auto" w:fill="FFFFFF"/>
          </w:rPr>
          <w:t>14</w:t>
        </w:r>
      </w:hyperlink>
      <w:r w:rsidRPr="00C31530">
        <w:rPr>
          <w:color w:val="000000" w:themeColor="text1"/>
          <w:shd w:val="clear" w:color="auto" w:fill="FFFFFF"/>
        </w:rPr>
        <w:t>, </w:t>
      </w:r>
      <w:hyperlink r:id="rId15" w:tooltip="Pravilnik o izmjenama Pravilnika o načinu provedbe stručnog nadzora građenja, obrascu, uvjetima i načinu vođenja građevinskog dnevnika te o sadržaju završnog izvješća nadzornog inženjera" w:history="1">
        <w:r>
          <w:rPr>
            <w:rStyle w:val="Hyperlink"/>
            <w:color w:val="000000" w:themeColor="text1"/>
            <w:u w:val="none"/>
            <w:shd w:val="clear" w:color="auto" w:fill="FFFFFF"/>
          </w:rPr>
          <w:t>107/</w:t>
        </w:r>
        <w:r w:rsidRPr="00C31530">
          <w:rPr>
            <w:rStyle w:val="Hyperlink"/>
            <w:color w:val="000000" w:themeColor="text1"/>
            <w:u w:val="none"/>
            <w:shd w:val="clear" w:color="auto" w:fill="FFFFFF"/>
          </w:rPr>
          <w:t>15</w:t>
        </w:r>
      </w:hyperlink>
      <w:r w:rsidRPr="00C31530">
        <w:rPr>
          <w:color w:val="000000" w:themeColor="text1"/>
          <w:shd w:val="clear" w:color="auto" w:fill="FFFFFF"/>
        </w:rPr>
        <w:t>, </w:t>
      </w:r>
      <w:hyperlink r:id="rId16" w:tooltip="Pravilnik o izmjeni Pravilnika o načinu provedbe stručnog nadzora građenja, obrascu, uvjetima i načinu vođenja građevinskog dnevnika te o sadržaju završnog izvješća nadzornog inženjera" w:history="1">
        <w:r>
          <w:rPr>
            <w:rStyle w:val="Hyperlink"/>
            <w:color w:val="000000" w:themeColor="text1"/>
            <w:u w:val="none"/>
            <w:shd w:val="clear" w:color="auto" w:fill="FFFFFF"/>
          </w:rPr>
          <w:t>20/</w:t>
        </w:r>
        <w:r w:rsidRPr="00C31530">
          <w:rPr>
            <w:rStyle w:val="Hyperlink"/>
            <w:color w:val="000000" w:themeColor="text1"/>
            <w:u w:val="none"/>
            <w:shd w:val="clear" w:color="auto" w:fill="FFFFFF"/>
          </w:rPr>
          <w:t>17</w:t>
        </w:r>
      </w:hyperlink>
      <w:r w:rsidRPr="00C31530">
        <w:rPr>
          <w:color w:val="000000" w:themeColor="text1"/>
          <w:shd w:val="clear" w:color="auto" w:fill="FFFFFF"/>
        </w:rPr>
        <w:t>, </w:t>
      </w:r>
      <w:hyperlink r:id="rId17" w:tooltip="Pravilnik o izmjeni Pravilnika o načinu provedbe stručnog nadzora građenja, obrascu, uvjetima i načinu vođenja građevinskog dnevnika te o sadržaju završnog izvješća nadzornog inženjera" w:history="1">
        <w:r>
          <w:rPr>
            <w:rStyle w:val="Hyperlink"/>
            <w:color w:val="000000" w:themeColor="text1"/>
            <w:u w:val="none"/>
            <w:shd w:val="clear" w:color="auto" w:fill="FFFFFF"/>
          </w:rPr>
          <w:t>98/</w:t>
        </w:r>
        <w:r w:rsidRPr="00C31530">
          <w:rPr>
            <w:rStyle w:val="Hyperlink"/>
            <w:color w:val="000000" w:themeColor="text1"/>
            <w:u w:val="none"/>
            <w:shd w:val="clear" w:color="auto" w:fill="FFFFFF"/>
          </w:rPr>
          <w:t>19</w:t>
        </w:r>
      </w:hyperlink>
      <w:r>
        <w:rPr>
          <w:color w:val="000000" w:themeColor="text1"/>
        </w:rPr>
        <w:t>) cijeli tekst</w:t>
      </w:r>
    </w:p>
    <w:p w:rsidR="00C31530" w:rsidRDefault="00B23494" w:rsidP="00B53E19">
      <w:pPr>
        <w:widowControl/>
        <w:suppressAutoHyphens w:val="0"/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-Pravilnik o tehničkom pregledu građevine (</w:t>
      </w:r>
      <w:r w:rsidR="003232CA">
        <w:rPr>
          <w:color w:val="000000" w:themeColor="text1"/>
        </w:rPr>
        <w:t>„</w:t>
      </w:r>
      <w:r>
        <w:rPr>
          <w:color w:val="000000" w:themeColor="text1"/>
        </w:rPr>
        <w:t>Narodne novine</w:t>
      </w:r>
      <w:r w:rsidR="003232CA">
        <w:rPr>
          <w:color w:val="000000" w:themeColor="text1"/>
        </w:rPr>
        <w:t>“</w:t>
      </w:r>
      <w:r>
        <w:rPr>
          <w:color w:val="000000" w:themeColor="text1"/>
        </w:rPr>
        <w:t>, br. 46/18, 98/</w:t>
      </w:r>
      <w:r w:rsidRPr="00C31530">
        <w:rPr>
          <w:color w:val="000000" w:themeColor="text1"/>
        </w:rPr>
        <w:t>19</w:t>
      </w:r>
      <w:r>
        <w:rPr>
          <w:color w:val="000000" w:themeColor="text1"/>
        </w:rPr>
        <w:t>) cijeli tekst</w:t>
      </w:r>
    </w:p>
    <w:p w:rsidR="00C31530" w:rsidRDefault="00B23494" w:rsidP="00B53E19">
      <w:pPr>
        <w:widowControl/>
        <w:suppressAutoHyphens w:val="0"/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-Pravilnik o sadržaju</w:t>
      </w:r>
      <w:r>
        <w:rPr>
          <w:color w:val="000000" w:themeColor="text1"/>
        </w:rPr>
        <w:t xml:space="preserve"> pisane Izjave </w:t>
      </w:r>
      <w:r w:rsidR="003232CA">
        <w:rPr>
          <w:color w:val="000000" w:themeColor="text1"/>
        </w:rPr>
        <w:t>i</w:t>
      </w:r>
      <w:r>
        <w:rPr>
          <w:color w:val="000000" w:themeColor="text1"/>
        </w:rPr>
        <w:t>zvođača o izvedenim radovima i uvjetima održavanja građevine (</w:t>
      </w:r>
      <w:r w:rsidR="003232CA">
        <w:rPr>
          <w:color w:val="000000" w:themeColor="text1"/>
        </w:rPr>
        <w:t>„</w:t>
      </w:r>
      <w:r>
        <w:rPr>
          <w:color w:val="000000" w:themeColor="text1"/>
        </w:rPr>
        <w:t>Narodne novine</w:t>
      </w:r>
      <w:r w:rsidR="003232CA">
        <w:rPr>
          <w:color w:val="000000" w:themeColor="text1"/>
        </w:rPr>
        <w:t>“</w:t>
      </w:r>
      <w:r>
        <w:rPr>
          <w:color w:val="000000" w:themeColor="text1"/>
        </w:rPr>
        <w:t xml:space="preserve"> br. 43/14) cijeli tekst</w:t>
      </w:r>
    </w:p>
    <w:p w:rsidR="00C31530" w:rsidRDefault="00B23494" w:rsidP="00B53E19">
      <w:pPr>
        <w:widowControl/>
        <w:suppressAutoHyphens w:val="0"/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-Pravilnik o mjerama zaštite od  požara kod građenja (</w:t>
      </w:r>
      <w:r w:rsidR="003232CA">
        <w:rPr>
          <w:color w:val="000000" w:themeColor="text1"/>
        </w:rPr>
        <w:t>„</w:t>
      </w:r>
      <w:r>
        <w:rPr>
          <w:color w:val="000000" w:themeColor="text1"/>
        </w:rPr>
        <w:t>Narodne novine</w:t>
      </w:r>
      <w:r w:rsidR="003232CA">
        <w:rPr>
          <w:color w:val="000000" w:themeColor="text1"/>
        </w:rPr>
        <w:t>“</w:t>
      </w:r>
      <w:r>
        <w:rPr>
          <w:color w:val="000000" w:themeColor="text1"/>
        </w:rPr>
        <w:t xml:space="preserve"> br. 141/</w:t>
      </w:r>
      <w:r w:rsidRPr="00C31530">
        <w:rPr>
          <w:color w:val="000000" w:themeColor="text1"/>
        </w:rPr>
        <w:t>11</w:t>
      </w:r>
      <w:r>
        <w:rPr>
          <w:color w:val="000000" w:themeColor="text1"/>
        </w:rPr>
        <w:t>) cijeli tekst</w:t>
      </w:r>
    </w:p>
    <w:p w:rsidR="003232CA" w:rsidRPr="003232CA" w:rsidRDefault="00B23494" w:rsidP="003232CA">
      <w:pPr>
        <w:pStyle w:val="BodyText"/>
      </w:pPr>
      <w:r>
        <w:rPr>
          <w:rFonts w:eastAsia="Microsoft YaHei" w:cs="Arial"/>
          <w:bCs/>
          <w:color w:val="000000" w:themeColor="text1"/>
        </w:rPr>
        <w:t xml:space="preserve">-Pravilnik o sigurnosti dizala („Narodne </w:t>
      </w:r>
      <w:r>
        <w:rPr>
          <w:rFonts w:eastAsia="Microsoft YaHei" w:cs="Arial"/>
          <w:bCs/>
          <w:color w:val="000000" w:themeColor="text1"/>
        </w:rPr>
        <w:t xml:space="preserve">novine“ br. </w:t>
      </w:r>
      <w:r>
        <w:t>20/</w:t>
      </w:r>
      <w:r w:rsidRPr="00C31530">
        <w:t>16</w:t>
      </w:r>
      <w:r>
        <w:t>) cijeli tekst</w:t>
      </w:r>
    </w:p>
    <w:p w:rsidR="00C31530" w:rsidRPr="008F7E29" w:rsidRDefault="00B23494" w:rsidP="00C31530">
      <w:pPr>
        <w:pStyle w:val="Heading1"/>
        <w:spacing w:before="150" w:after="75"/>
        <w:ind w:left="300" w:right="300"/>
        <w:rPr>
          <w:rFonts w:cs="Times New Roman"/>
          <w:b w:val="0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</w:t>
      </w:r>
      <w:r w:rsidR="00B2509D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Pr="00C31530">
        <w:rPr>
          <w:rFonts w:eastAsia="Times New Roman" w:cs="Times New Roman"/>
          <w:b w:val="0"/>
          <w:bCs w:val="0"/>
          <w:color w:val="000000" w:themeColor="text1"/>
          <w:kern w:val="36"/>
          <w:sz w:val="24"/>
          <w:szCs w:val="24"/>
          <w:lang w:val="en-US" w:eastAsia="en-US"/>
        </w:rPr>
        <w:t>Tehnički propis za prozore i vrata</w:t>
      </w:r>
      <w:r>
        <w:rPr>
          <w:rFonts w:eastAsia="Times New Roman" w:cs="Times New Roman"/>
          <w:b w:val="0"/>
          <w:bCs w:val="0"/>
          <w:color w:val="000000" w:themeColor="text1"/>
          <w:kern w:val="36"/>
          <w:sz w:val="24"/>
          <w:szCs w:val="24"/>
          <w:lang w:val="en-US" w:eastAsia="en-US"/>
        </w:rPr>
        <w:t xml:space="preserve"> (</w:t>
      </w:r>
      <w:r w:rsidR="003232CA">
        <w:rPr>
          <w:rFonts w:eastAsia="Times New Roman" w:cs="Times New Roman"/>
          <w:b w:val="0"/>
          <w:bCs w:val="0"/>
          <w:color w:val="000000" w:themeColor="text1"/>
          <w:kern w:val="36"/>
          <w:sz w:val="24"/>
          <w:szCs w:val="24"/>
          <w:lang w:val="en-US" w:eastAsia="en-US"/>
        </w:rPr>
        <w:t>“</w:t>
      </w:r>
      <w:r>
        <w:rPr>
          <w:rFonts w:eastAsia="Times New Roman" w:cs="Times New Roman"/>
          <w:b w:val="0"/>
          <w:bCs w:val="0"/>
          <w:color w:val="000000" w:themeColor="text1"/>
          <w:kern w:val="36"/>
          <w:sz w:val="24"/>
          <w:szCs w:val="24"/>
          <w:lang w:val="en-US" w:eastAsia="en-US"/>
        </w:rPr>
        <w:t>Narodne novine</w:t>
      </w:r>
      <w:r w:rsidR="003232CA">
        <w:rPr>
          <w:rFonts w:eastAsia="Times New Roman" w:cs="Times New Roman"/>
          <w:b w:val="0"/>
          <w:bCs w:val="0"/>
          <w:color w:val="000000" w:themeColor="text1"/>
          <w:kern w:val="36"/>
          <w:sz w:val="24"/>
          <w:szCs w:val="24"/>
          <w:lang w:val="en-US" w:eastAsia="en-US"/>
        </w:rPr>
        <w:t>”</w:t>
      </w:r>
      <w:r>
        <w:rPr>
          <w:rFonts w:eastAsia="Times New Roman" w:cs="Times New Roman"/>
          <w:b w:val="0"/>
          <w:bCs w:val="0"/>
          <w:color w:val="000000" w:themeColor="text1"/>
          <w:kern w:val="36"/>
          <w:sz w:val="24"/>
          <w:szCs w:val="24"/>
          <w:lang w:val="en-US" w:eastAsia="en-US"/>
        </w:rPr>
        <w:t xml:space="preserve"> br.</w:t>
      </w:r>
      <w:r w:rsidRPr="00C31530">
        <w:t xml:space="preserve"> </w:t>
      </w:r>
      <w:hyperlink r:id="rId18" w:tooltip="Tehnički propis za prozore i vrata" w:history="1">
        <w:r>
          <w:rPr>
            <w:rStyle w:val="Hyperlink"/>
            <w:rFonts w:cs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69/</w:t>
        </w:r>
        <w:r w:rsidRPr="00C31530">
          <w:rPr>
            <w:rStyle w:val="Hyperlink"/>
            <w:rFonts w:cs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06</w:t>
        </w:r>
      </w:hyperlink>
      <w:r w:rsidRPr="00C31530">
        <w:rPr>
          <w:rFonts w:cs="Times New Roman"/>
          <w:b w:val="0"/>
          <w:color w:val="000000" w:themeColor="text1"/>
          <w:sz w:val="24"/>
          <w:szCs w:val="24"/>
          <w:shd w:val="clear" w:color="auto" w:fill="FFFFFF"/>
        </w:rPr>
        <w:t>, </w:t>
      </w:r>
      <w:hyperlink r:id="rId19" w:tooltip="Zakon o prostornom uređenju i gradnji" w:history="1">
        <w:r>
          <w:rPr>
            <w:rStyle w:val="Hyperlink"/>
            <w:rFonts w:cs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76/</w:t>
        </w:r>
        <w:r w:rsidRPr="00C31530">
          <w:rPr>
            <w:rStyle w:val="Hyperlink"/>
            <w:rFonts w:cs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07</w:t>
        </w:r>
      </w:hyperlink>
      <w:r w:rsidRPr="00C31530">
        <w:rPr>
          <w:rFonts w:cs="Times New Roman"/>
          <w:b w:val="0"/>
          <w:color w:val="000000" w:themeColor="text1"/>
          <w:sz w:val="24"/>
          <w:szCs w:val="24"/>
          <w:shd w:val="clear" w:color="auto" w:fill="FFFFFF"/>
        </w:rPr>
        <w:t>, </w:t>
      </w:r>
      <w:hyperlink r:id="rId20" w:tooltip="Tehnički propis o izmjenama i dopunama Tehničkog propisa o građevnim proizvodima" w:history="1">
        <w:r>
          <w:rPr>
            <w:rStyle w:val="Hyperlink"/>
            <w:rFonts w:cs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81/</w:t>
        </w:r>
        <w:r w:rsidRPr="00C31530">
          <w:rPr>
            <w:rStyle w:val="Hyperlink"/>
            <w:rFonts w:cs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13</w:t>
        </w:r>
      </w:hyperlink>
      <w:r w:rsidRPr="00C31530">
        <w:rPr>
          <w:rFonts w:cs="Times New Roman"/>
          <w:b w:val="0"/>
          <w:color w:val="000000" w:themeColor="text1"/>
          <w:sz w:val="24"/>
          <w:szCs w:val="24"/>
          <w:shd w:val="clear" w:color="auto" w:fill="FFFFFF"/>
        </w:rPr>
        <w:t>, </w:t>
      </w:r>
      <w:hyperlink r:id="rId21" w:tooltip="Zakon o gradnji" w:history="1">
        <w:r>
          <w:rPr>
            <w:rStyle w:val="Hyperlink"/>
            <w:rFonts w:cs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153/</w:t>
        </w:r>
        <w:r w:rsidRPr="00C31530">
          <w:rPr>
            <w:rStyle w:val="Hyperlink"/>
            <w:rFonts w:cs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13</w:t>
        </w:r>
      </w:hyperlink>
      <w:r>
        <w:rPr>
          <w:rFonts w:cs="Times New Roman"/>
          <w:b w:val="0"/>
          <w:color w:val="000000" w:themeColor="text1"/>
          <w:sz w:val="24"/>
          <w:szCs w:val="24"/>
        </w:rPr>
        <w:t>) cijeli tekst</w:t>
      </w:r>
    </w:p>
    <w:p w:rsidR="00C31530" w:rsidRDefault="00B23494" w:rsidP="008F7E29">
      <w:pPr>
        <w:pStyle w:val="BodyText"/>
        <w:rPr>
          <w:rFonts w:eastAsia="Microsoft YaHei" w:cs="Arial"/>
          <w:bCs/>
          <w:color w:val="000000" w:themeColor="text1"/>
        </w:rPr>
      </w:pPr>
      <w:r>
        <w:rPr>
          <w:rFonts w:eastAsia="Microsoft YaHei" w:cs="Arial"/>
          <w:b/>
          <w:bCs/>
          <w:color w:val="000000" w:themeColor="text1"/>
        </w:rPr>
        <w:t xml:space="preserve"> </w:t>
      </w:r>
      <w:r w:rsidR="00233B94">
        <w:rPr>
          <w:rFonts w:eastAsia="Microsoft YaHei" w:cs="Arial"/>
          <w:b/>
          <w:bCs/>
          <w:color w:val="000000" w:themeColor="text1"/>
        </w:rPr>
        <w:t>-</w:t>
      </w:r>
      <w:r w:rsidR="00233B94" w:rsidRPr="00C31530">
        <w:rPr>
          <w:rFonts w:eastAsia="Microsoft YaHei" w:cs="Arial"/>
          <w:bCs/>
          <w:color w:val="000000" w:themeColor="text1"/>
        </w:rPr>
        <w:t>Tehnički propis za dimnjake u građevinama</w:t>
      </w:r>
      <w:r w:rsidR="00233B94">
        <w:rPr>
          <w:rFonts w:eastAsia="Microsoft YaHei" w:cs="Arial"/>
          <w:b/>
          <w:bCs/>
          <w:color w:val="000000" w:themeColor="text1"/>
        </w:rPr>
        <w:t xml:space="preserve"> </w:t>
      </w:r>
      <w:r w:rsidR="00233B94" w:rsidRPr="00C31530">
        <w:rPr>
          <w:rFonts w:eastAsia="Microsoft YaHei" w:cs="Arial"/>
          <w:bCs/>
          <w:color w:val="000000" w:themeColor="text1"/>
        </w:rPr>
        <w:t>(</w:t>
      </w:r>
      <w:r w:rsidR="003232CA">
        <w:rPr>
          <w:rFonts w:eastAsia="Microsoft YaHei" w:cs="Arial"/>
          <w:bCs/>
          <w:color w:val="000000" w:themeColor="text1"/>
        </w:rPr>
        <w:t>„</w:t>
      </w:r>
      <w:r w:rsidR="00233B94" w:rsidRPr="00C31530">
        <w:rPr>
          <w:rFonts w:eastAsia="Microsoft YaHei" w:cs="Arial"/>
          <w:bCs/>
          <w:color w:val="000000" w:themeColor="text1"/>
        </w:rPr>
        <w:t>Narodne novine</w:t>
      </w:r>
      <w:r w:rsidR="003232CA">
        <w:rPr>
          <w:rFonts w:eastAsia="Microsoft YaHei" w:cs="Arial"/>
          <w:bCs/>
          <w:color w:val="000000" w:themeColor="text1"/>
        </w:rPr>
        <w:t>“</w:t>
      </w:r>
      <w:r w:rsidR="00233B94" w:rsidRPr="00C31530">
        <w:rPr>
          <w:rFonts w:eastAsia="Microsoft YaHei" w:cs="Arial"/>
          <w:bCs/>
          <w:color w:val="000000" w:themeColor="text1"/>
        </w:rPr>
        <w:t xml:space="preserve"> br.</w:t>
      </w:r>
      <w:r w:rsidR="00233B94" w:rsidRPr="00C31530">
        <w:t xml:space="preserve"> </w:t>
      </w:r>
      <w:r w:rsidR="00233B94" w:rsidRPr="00C31530">
        <w:rPr>
          <w:rFonts w:eastAsia="Microsoft YaHei" w:cs="Arial"/>
          <w:bCs/>
          <w:color w:val="000000" w:themeColor="text1"/>
        </w:rPr>
        <w:t>3/2007, 76/2007, 153/2013</w:t>
      </w:r>
      <w:r w:rsidR="00233B94">
        <w:rPr>
          <w:rFonts w:eastAsia="Microsoft YaHei" w:cs="Arial"/>
          <w:bCs/>
          <w:color w:val="000000" w:themeColor="text1"/>
        </w:rPr>
        <w:t>) cijeli tekst</w:t>
      </w:r>
    </w:p>
    <w:p w:rsidR="00C31530" w:rsidRPr="003232CA" w:rsidRDefault="00B23494" w:rsidP="003232CA">
      <w:pPr>
        <w:pStyle w:val="BodyText"/>
        <w:rPr>
          <w:rFonts w:eastAsia="Microsoft YaHei" w:cs="Arial"/>
          <w:bCs/>
          <w:color w:val="000000" w:themeColor="text1"/>
        </w:rPr>
      </w:pPr>
      <w:r>
        <w:rPr>
          <w:rFonts w:eastAsia="Microsoft YaHei" w:cs="Arial"/>
          <w:bCs/>
          <w:color w:val="000000" w:themeColor="text1"/>
        </w:rPr>
        <w:t>-Tehnički propis za sustave zaštite od djelovanja munje na građevinama (</w:t>
      </w:r>
      <w:r w:rsidR="003232CA">
        <w:rPr>
          <w:rFonts w:eastAsia="Microsoft YaHei" w:cs="Arial"/>
          <w:bCs/>
          <w:color w:val="000000" w:themeColor="text1"/>
        </w:rPr>
        <w:t>„</w:t>
      </w:r>
      <w:r>
        <w:rPr>
          <w:rFonts w:eastAsia="Microsoft YaHei" w:cs="Arial"/>
          <w:bCs/>
          <w:color w:val="000000" w:themeColor="text1"/>
        </w:rPr>
        <w:t>Narodne novine</w:t>
      </w:r>
      <w:r w:rsidR="003232CA">
        <w:rPr>
          <w:rFonts w:eastAsia="Microsoft YaHei" w:cs="Arial"/>
          <w:bCs/>
          <w:color w:val="000000" w:themeColor="text1"/>
        </w:rPr>
        <w:t>“</w:t>
      </w:r>
      <w:r>
        <w:rPr>
          <w:rFonts w:eastAsia="Microsoft YaHei" w:cs="Arial"/>
          <w:bCs/>
          <w:color w:val="000000" w:themeColor="text1"/>
        </w:rPr>
        <w:t>, br.</w:t>
      </w:r>
      <w:r w:rsidRPr="00C31530">
        <w:t xml:space="preserve"> </w:t>
      </w:r>
      <w:r>
        <w:rPr>
          <w:rFonts w:eastAsia="Microsoft YaHei" w:cs="Arial"/>
          <w:bCs/>
          <w:color w:val="000000" w:themeColor="text1"/>
        </w:rPr>
        <w:t>87/08, 33/10, 153/</w:t>
      </w:r>
      <w:r w:rsidRPr="00C31530">
        <w:rPr>
          <w:rFonts w:eastAsia="Microsoft YaHei" w:cs="Arial"/>
          <w:bCs/>
          <w:color w:val="000000" w:themeColor="text1"/>
        </w:rPr>
        <w:t>13</w:t>
      </w:r>
      <w:r>
        <w:rPr>
          <w:rFonts w:eastAsia="Microsoft YaHei" w:cs="Arial"/>
          <w:bCs/>
          <w:color w:val="000000" w:themeColor="text1"/>
        </w:rPr>
        <w:t>) cijeli tekst</w:t>
      </w:r>
    </w:p>
    <w:p w:rsidR="00C31530" w:rsidRPr="00C31530" w:rsidRDefault="00B23494" w:rsidP="00C31530">
      <w:pPr>
        <w:pStyle w:val="BodyText"/>
      </w:pPr>
      <w:r>
        <w:t>-</w:t>
      </w:r>
      <w:r w:rsidRPr="00C31530">
        <w:t xml:space="preserve">Statut Općine Matulji  („Službene novine </w:t>
      </w:r>
      <w:r w:rsidRPr="00C31530">
        <w:t>Primorsko-goranske županije“ br. 26/09, 38/09, 8/13, 17/14,  29/14, 4/15-pročišćeni tekst,  39/15 i 7/18)</w:t>
      </w:r>
      <w:r>
        <w:t xml:space="preserve"> </w:t>
      </w:r>
      <w:r w:rsidR="008F7E29">
        <w:t>članci: 1. do 8., 15. do 18., 31. do 33., 43., 77. do 85.</w:t>
      </w:r>
    </w:p>
    <w:p w:rsidR="00B53E19" w:rsidRPr="00B9693D" w:rsidRDefault="00B23494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 xml:space="preserve">Web- stranica "Narodnih novina" je </w:t>
      </w:r>
      <w:hyperlink r:id="rId22" w:history="1">
        <w:r w:rsidRPr="00B9693D">
          <w:rPr>
            <w:rFonts w:eastAsia="Times New Roman"/>
            <w:color w:val="0000FF"/>
            <w:kern w:val="0"/>
            <w:u w:val="single"/>
            <w:lang w:eastAsia="hr-HR"/>
          </w:rPr>
          <w:t>www.nn.hr</w:t>
        </w:r>
      </w:hyperlink>
      <w:r w:rsidRPr="00B9693D">
        <w:rPr>
          <w:rFonts w:eastAsia="Times New Roman"/>
          <w:kern w:val="0"/>
          <w:lang w:eastAsia="hr-HR"/>
        </w:rPr>
        <w:t xml:space="preserve">, web stranica </w:t>
      </w:r>
      <w:r w:rsidRPr="00B9693D">
        <w:rPr>
          <w:rFonts w:eastAsia="Times New Roman"/>
          <w:kern w:val="0"/>
          <w:lang w:eastAsia="hr-HR"/>
        </w:rPr>
        <w:t xml:space="preserve">"Službenih novina Primorsko- goranske županije" je </w:t>
      </w:r>
      <w:hyperlink r:id="rId23" w:history="1">
        <w:r w:rsidRPr="00B9693D">
          <w:rPr>
            <w:rFonts w:eastAsia="Times New Roman"/>
            <w:color w:val="0000FF"/>
            <w:kern w:val="0"/>
            <w:u w:val="single"/>
            <w:lang w:eastAsia="hr-HR"/>
          </w:rPr>
          <w:t>www.sn.pgz.hr</w:t>
        </w:r>
      </w:hyperlink>
      <w:r w:rsidRPr="00B9693D">
        <w:rPr>
          <w:rFonts w:eastAsia="Times New Roman"/>
          <w:kern w:val="0"/>
          <w:lang w:eastAsia="hr-HR"/>
        </w:rPr>
        <w:t xml:space="preserve"> . </w:t>
      </w:r>
    </w:p>
    <w:p w:rsidR="00B53E19" w:rsidRPr="00B9693D" w:rsidRDefault="00B23494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Vrijeme održavanja prethodne provjere znanja i sposobnosti kandidata bit će objavljeno na ovoj web-stranici te na oglasnoj ploči Općine Matulji, najkas</w:t>
      </w:r>
      <w:r w:rsidRPr="00B9693D">
        <w:rPr>
          <w:rFonts w:eastAsia="Times New Roman"/>
          <w:kern w:val="0"/>
          <w:lang w:eastAsia="hr-HR"/>
        </w:rPr>
        <w:t>nije pet dana prije održavanja provjere.</w:t>
      </w:r>
    </w:p>
    <w:p w:rsidR="00B53E19" w:rsidRPr="00B9693D" w:rsidRDefault="00B23494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U Listi kandidata koja će biti objavljena zajedno s vremenom održavanja prethodne provjere znanja i sposobnosti, bit će navedeni inicijali kandidata, sa godinom rođenja i mjestom prebivališta. Ukoliko se kandidat na</w:t>
      </w:r>
      <w:r w:rsidRPr="00B9693D">
        <w:rPr>
          <w:rFonts w:eastAsia="Times New Roman"/>
          <w:kern w:val="0"/>
          <w:lang w:eastAsia="hr-HR"/>
        </w:rPr>
        <w:t xml:space="preserve"> koga se ti podaci odnose ne bi mogao identificirati u odnosu na jednake podatke drugog kandidata, dodat će se još jedna značajka koja će ih razlikovati.  </w:t>
      </w:r>
    </w:p>
    <w:p w:rsidR="00B53E19" w:rsidRPr="00B9693D" w:rsidRDefault="00B23494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 xml:space="preserve">Molimo podnositelje da u prijavi navedu broj fiksnoga i/ili mobilnog telefona na koje, u slučaju </w:t>
      </w:r>
      <w:r w:rsidRPr="00B9693D">
        <w:rPr>
          <w:rFonts w:eastAsia="Times New Roman"/>
          <w:kern w:val="0"/>
          <w:lang w:eastAsia="hr-HR"/>
        </w:rPr>
        <w:t>potrebe, mogu biti kontaktirati tijekom natječajnog postupka. Također molimo da se u prijavi navede adresa elektroničke pošte.</w:t>
      </w:r>
    </w:p>
    <w:p w:rsidR="00B53E19" w:rsidRPr="00B9693D" w:rsidRDefault="00B23494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Kandidat može tijekom natječajnog postupka pisanim putem povući prijavu.</w:t>
      </w:r>
    </w:p>
    <w:p w:rsidR="00B53E19" w:rsidRPr="00B9693D" w:rsidRDefault="00B23494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lastRenderedPageBreak/>
        <w:t>Izabrani kandidat bit će upućen na liječnički pregled (u</w:t>
      </w:r>
      <w:r w:rsidRPr="00B9693D">
        <w:rPr>
          <w:rFonts w:eastAsia="Times New Roman"/>
          <w:kern w:val="0"/>
          <w:lang w:eastAsia="hr-HR"/>
        </w:rPr>
        <w:t>tvrđivanje zdravstvene sposobnosti za obavljanje poslova radnog mjesta) na trošak Općine.</w:t>
      </w:r>
    </w:p>
    <w:p w:rsidR="00D43FE0" w:rsidRPr="00344EA2" w:rsidRDefault="00B23494" w:rsidP="008F7E29">
      <w:pPr>
        <w:widowControl/>
        <w:suppressAutoHyphens w:val="0"/>
        <w:spacing w:before="100" w:beforeAutospacing="1" w:after="100" w:afterAutospacing="1"/>
        <w:jc w:val="both"/>
      </w:pPr>
      <w:r w:rsidRPr="00B9693D">
        <w:rPr>
          <w:rFonts w:eastAsia="Times New Roman"/>
          <w:kern w:val="0"/>
          <w:lang w:eastAsia="hr-HR"/>
        </w:rPr>
        <w:t>Eventualne dodatne upite možete poslati putem elektroničke pošte, na adresu:</w:t>
      </w:r>
      <w:r w:rsidRPr="00B9693D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8F7E29" w:rsidRPr="008F7E29">
        <w:rPr>
          <w:rFonts w:eastAsia="Calibri"/>
          <w:kern w:val="0"/>
          <w:lang w:eastAsia="en-US"/>
        </w:rPr>
        <w:t>ronald.puharic@matulji.hr</w:t>
      </w:r>
    </w:p>
    <w:sectPr w:rsidR="00D43FE0" w:rsidRPr="00344EA2" w:rsidSect="000F45A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94" w:rsidRDefault="00B23494">
      <w:r>
        <w:separator/>
      </w:r>
    </w:p>
  </w:endnote>
  <w:endnote w:type="continuationSeparator" w:id="0">
    <w:p w:rsidR="00B23494" w:rsidRDefault="00B2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A4" w:rsidRDefault="00E26D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38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</w:tblGrid>
    <w:tr w:rsidR="002164D9" w:rsidTr="00287FF2">
      <w:trPr>
        <w:trHeight w:val="411"/>
      </w:trPr>
      <w:tc>
        <w:tcPr>
          <w:tcW w:w="3169" w:type="dxa"/>
          <w:vAlign w:val="center"/>
        </w:tcPr>
        <w:p w:rsidR="00287FF2" w:rsidRPr="000F45A1" w:rsidRDefault="00287FF2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287FF2" w:rsidRPr="000F45A1" w:rsidRDefault="00287FF2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2164D9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94" w:rsidRDefault="00B23494">
      <w:r>
        <w:separator/>
      </w:r>
    </w:p>
  </w:footnote>
  <w:footnote w:type="continuationSeparator" w:id="0">
    <w:p w:rsidR="00B23494" w:rsidRDefault="00B2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A4" w:rsidRDefault="00E26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A4" w:rsidRDefault="00E26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2164D9" w:rsidTr="000F45A1">
      <w:tc>
        <w:tcPr>
          <w:tcW w:w="4503" w:type="dxa"/>
        </w:tcPr>
        <w:p w:rsidR="00795CF9" w:rsidRPr="00344EA2" w:rsidRDefault="00B23494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4" w:dyaOrig="9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638253861" r:id="rId2"/>
            </w:object>
          </w:r>
        </w:p>
        <w:p w:rsidR="00795CF9" w:rsidRPr="00344EA2" w:rsidRDefault="00B23494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B23494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696"/>
        </w:tabs>
        <w:ind w:left="696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840"/>
        </w:tabs>
        <w:ind w:left="840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984"/>
        </w:tabs>
        <w:ind w:left="9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28"/>
        </w:tabs>
        <w:ind w:left="11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72"/>
        </w:tabs>
        <w:ind w:left="12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60"/>
        </w:tabs>
        <w:ind w:left="15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04"/>
        </w:tabs>
        <w:ind w:left="17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E514C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F24E70">
      <w:start w:val="1"/>
      <w:numFmt w:val="lowerLetter"/>
      <w:lvlText w:val="%2."/>
      <w:lvlJc w:val="left"/>
      <w:pPr>
        <w:ind w:left="1440" w:hanging="360"/>
      </w:pPr>
    </w:lvl>
    <w:lvl w:ilvl="2" w:tplc="7980C184">
      <w:start w:val="1"/>
      <w:numFmt w:val="lowerRoman"/>
      <w:lvlText w:val="%3."/>
      <w:lvlJc w:val="right"/>
      <w:pPr>
        <w:ind w:left="2160" w:hanging="180"/>
      </w:pPr>
    </w:lvl>
    <w:lvl w:ilvl="3" w:tplc="6D62D89E">
      <w:start w:val="1"/>
      <w:numFmt w:val="decimal"/>
      <w:lvlText w:val="%4."/>
      <w:lvlJc w:val="left"/>
      <w:pPr>
        <w:ind w:left="2880" w:hanging="360"/>
      </w:pPr>
    </w:lvl>
    <w:lvl w:ilvl="4" w:tplc="AC2A45B6">
      <w:start w:val="1"/>
      <w:numFmt w:val="lowerLetter"/>
      <w:lvlText w:val="%5."/>
      <w:lvlJc w:val="left"/>
      <w:pPr>
        <w:ind w:left="3600" w:hanging="360"/>
      </w:pPr>
    </w:lvl>
    <w:lvl w:ilvl="5" w:tplc="CD302BD0">
      <w:start w:val="1"/>
      <w:numFmt w:val="lowerRoman"/>
      <w:lvlText w:val="%6."/>
      <w:lvlJc w:val="right"/>
      <w:pPr>
        <w:ind w:left="4320" w:hanging="180"/>
      </w:pPr>
    </w:lvl>
    <w:lvl w:ilvl="6" w:tplc="1B1ED4C4">
      <w:start w:val="1"/>
      <w:numFmt w:val="decimal"/>
      <w:lvlText w:val="%7."/>
      <w:lvlJc w:val="left"/>
      <w:pPr>
        <w:ind w:left="5040" w:hanging="360"/>
      </w:pPr>
    </w:lvl>
    <w:lvl w:ilvl="7" w:tplc="F56AAF4A">
      <w:start w:val="1"/>
      <w:numFmt w:val="lowerLetter"/>
      <w:lvlText w:val="%8."/>
      <w:lvlJc w:val="left"/>
      <w:pPr>
        <w:ind w:left="5760" w:hanging="360"/>
      </w:pPr>
    </w:lvl>
    <w:lvl w:ilvl="8" w:tplc="37203AC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E40A1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F2275C">
      <w:start w:val="1"/>
      <w:numFmt w:val="lowerLetter"/>
      <w:lvlText w:val="%2."/>
      <w:lvlJc w:val="left"/>
      <w:pPr>
        <w:ind w:left="1440" w:hanging="360"/>
      </w:pPr>
    </w:lvl>
    <w:lvl w:ilvl="2" w:tplc="656C3A6A">
      <w:start w:val="1"/>
      <w:numFmt w:val="lowerRoman"/>
      <w:lvlText w:val="%3."/>
      <w:lvlJc w:val="right"/>
      <w:pPr>
        <w:ind w:left="2160" w:hanging="180"/>
      </w:pPr>
    </w:lvl>
    <w:lvl w:ilvl="3" w:tplc="3F8423E2">
      <w:start w:val="1"/>
      <w:numFmt w:val="decimal"/>
      <w:lvlText w:val="%4."/>
      <w:lvlJc w:val="left"/>
      <w:pPr>
        <w:ind w:left="2880" w:hanging="360"/>
      </w:pPr>
    </w:lvl>
    <w:lvl w:ilvl="4" w:tplc="0C1CCD00">
      <w:start w:val="1"/>
      <w:numFmt w:val="lowerLetter"/>
      <w:lvlText w:val="%5."/>
      <w:lvlJc w:val="left"/>
      <w:pPr>
        <w:ind w:left="3600" w:hanging="360"/>
      </w:pPr>
    </w:lvl>
    <w:lvl w:ilvl="5" w:tplc="034A9666">
      <w:start w:val="1"/>
      <w:numFmt w:val="lowerRoman"/>
      <w:lvlText w:val="%6."/>
      <w:lvlJc w:val="right"/>
      <w:pPr>
        <w:ind w:left="4320" w:hanging="180"/>
      </w:pPr>
    </w:lvl>
    <w:lvl w:ilvl="6" w:tplc="55A02FE8">
      <w:start w:val="1"/>
      <w:numFmt w:val="decimal"/>
      <w:lvlText w:val="%7."/>
      <w:lvlJc w:val="left"/>
      <w:pPr>
        <w:ind w:left="5040" w:hanging="360"/>
      </w:pPr>
    </w:lvl>
    <w:lvl w:ilvl="7" w:tplc="374E2942">
      <w:start w:val="1"/>
      <w:numFmt w:val="lowerLetter"/>
      <w:lvlText w:val="%8."/>
      <w:lvlJc w:val="left"/>
      <w:pPr>
        <w:ind w:left="5760" w:hanging="360"/>
      </w:pPr>
    </w:lvl>
    <w:lvl w:ilvl="8" w:tplc="0CFEB3A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E60B6"/>
    <w:multiLevelType w:val="hybridMultilevel"/>
    <w:tmpl w:val="055AC76C"/>
    <w:lvl w:ilvl="0" w:tplc="EB9A1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CA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4D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865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2D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28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4A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4F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EC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74821"/>
    <w:multiLevelType w:val="hybridMultilevel"/>
    <w:tmpl w:val="F56A7788"/>
    <w:lvl w:ilvl="0" w:tplc="CE424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F8930E">
      <w:start w:val="1"/>
      <w:numFmt w:val="lowerLetter"/>
      <w:lvlText w:val="%2."/>
      <w:lvlJc w:val="left"/>
      <w:pPr>
        <w:ind w:left="1440" w:hanging="360"/>
      </w:pPr>
    </w:lvl>
    <w:lvl w:ilvl="2" w:tplc="1496042A">
      <w:start w:val="1"/>
      <w:numFmt w:val="lowerRoman"/>
      <w:lvlText w:val="%3."/>
      <w:lvlJc w:val="right"/>
      <w:pPr>
        <w:ind w:left="2160" w:hanging="180"/>
      </w:pPr>
    </w:lvl>
    <w:lvl w:ilvl="3" w:tplc="3D2C4A9A">
      <w:start w:val="1"/>
      <w:numFmt w:val="decimal"/>
      <w:lvlText w:val="%4."/>
      <w:lvlJc w:val="left"/>
      <w:pPr>
        <w:ind w:left="2880" w:hanging="360"/>
      </w:pPr>
    </w:lvl>
    <w:lvl w:ilvl="4" w:tplc="798A181A">
      <w:start w:val="1"/>
      <w:numFmt w:val="lowerLetter"/>
      <w:lvlText w:val="%5."/>
      <w:lvlJc w:val="left"/>
      <w:pPr>
        <w:ind w:left="3600" w:hanging="360"/>
      </w:pPr>
    </w:lvl>
    <w:lvl w:ilvl="5" w:tplc="242E48DE">
      <w:start w:val="1"/>
      <w:numFmt w:val="lowerRoman"/>
      <w:lvlText w:val="%6."/>
      <w:lvlJc w:val="right"/>
      <w:pPr>
        <w:ind w:left="4320" w:hanging="180"/>
      </w:pPr>
    </w:lvl>
    <w:lvl w:ilvl="6" w:tplc="DE82C67E">
      <w:start w:val="1"/>
      <w:numFmt w:val="decimal"/>
      <w:lvlText w:val="%7."/>
      <w:lvlJc w:val="left"/>
      <w:pPr>
        <w:ind w:left="5040" w:hanging="360"/>
      </w:pPr>
    </w:lvl>
    <w:lvl w:ilvl="7" w:tplc="76F2A54C">
      <w:start w:val="1"/>
      <w:numFmt w:val="lowerLetter"/>
      <w:lvlText w:val="%8."/>
      <w:lvlJc w:val="left"/>
      <w:pPr>
        <w:ind w:left="5760" w:hanging="360"/>
      </w:pPr>
    </w:lvl>
    <w:lvl w:ilvl="8" w:tplc="012C2D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1216CD"/>
    <w:rsid w:val="00163436"/>
    <w:rsid w:val="001C3B0B"/>
    <w:rsid w:val="001F4749"/>
    <w:rsid w:val="002164D9"/>
    <w:rsid w:val="00233B94"/>
    <w:rsid w:val="00255637"/>
    <w:rsid w:val="00287FF2"/>
    <w:rsid w:val="002E388A"/>
    <w:rsid w:val="002E4164"/>
    <w:rsid w:val="003232CA"/>
    <w:rsid w:val="00332354"/>
    <w:rsid w:val="00344EA2"/>
    <w:rsid w:val="0037330A"/>
    <w:rsid w:val="00396DE7"/>
    <w:rsid w:val="003A7004"/>
    <w:rsid w:val="003B22B2"/>
    <w:rsid w:val="003C02B5"/>
    <w:rsid w:val="003D1B99"/>
    <w:rsid w:val="00412BE6"/>
    <w:rsid w:val="00443812"/>
    <w:rsid w:val="00451E22"/>
    <w:rsid w:val="004D624B"/>
    <w:rsid w:val="004D6D55"/>
    <w:rsid w:val="00543E27"/>
    <w:rsid w:val="00553E97"/>
    <w:rsid w:val="00587CD6"/>
    <w:rsid w:val="005A30E6"/>
    <w:rsid w:val="005A5AFD"/>
    <w:rsid w:val="00641273"/>
    <w:rsid w:val="00655AFE"/>
    <w:rsid w:val="00671CA7"/>
    <w:rsid w:val="00681F29"/>
    <w:rsid w:val="006B3103"/>
    <w:rsid w:val="006D71F9"/>
    <w:rsid w:val="0074389F"/>
    <w:rsid w:val="00766B45"/>
    <w:rsid w:val="00795CF9"/>
    <w:rsid w:val="007C7695"/>
    <w:rsid w:val="007F580B"/>
    <w:rsid w:val="00840B2A"/>
    <w:rsid w:val="00857E10"/>
    <w:rsid w:val="008F7E29"/>
    <w:rsid w:val="00903FF8"/>
    <w:rsid w:val="00981900"/>
    <w:rsid w:val="00987DC7"/>
    <w:rsid w:val="0099027C"/>
    <w:rsid w:val="009A1489"/>
    <w:rsid w:val="009A2A20"/>
    <w:rsid w:val="00A97573"/>
    <w:rsid w:val="00AF0171"/>
    <w:rsid w:val="00B23494"/>
    <w:rsid w:val="00B2509D"/>
    <w:rsid w:val="00B53E19"/>
    <w:rsid w:val="00B9693D"/>
    <w:rsid w:val="00BE2CB0"/>
    <w:rsid w:val="00C31530"/>
    <w:rsid w:val="00C501FD"/>
    <w:rsid w:val="00C63421"/>
    <w:rsid w:val="00C95FD2"/>
    <w:rsid w:val="00CD3CAA"/>
    <w:rsid w:val="00D10C74"/>
    <w:rsid w:val="00D13821"/>
    <w:rsid w:val="00D36435"/>
    <w:rsid w:val="00D43FE0"/>
    <w:rsid w:val="00DA1530"/>
    <w:rsid w:val="00DA3B80"/>
    <w:rsid w:val="00DB5ECD"/>
    <w:rsid w:val="00DD577A"/>
    <w:rsid w:val="00DE508E"/>
    <w:rsid w:val="00E26DA4"/>
    <w:rsid w:val="00E55C93"/>
    <w:rsid w:val="00E829DC"/>
    <w:rsid w:val="00F15884"/>
    <w:rsid w:val="00F3670F"/>
    <w:rsid w:val="00F57C58"/>
    <w:rsid w:val="00FB7692"/>
    <w:rsid w:val="00FE12CE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53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C31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53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C31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usinfo.hr/Publication/Content.aspx?Sopi=NN2019B110A2215&amp;Ver=NN2019B110A2215" TargetMode="External"/><Relationship Id="rId18" Type="http://schemas.openxmlformats.org/officeDocument/2006/relationships/hyperlink" Target="http://www.iusinfo.hr/Publication/Content.aspx?Sopi=NN2006B69A1661&amp;Ver=NN2006B69A166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usinfo.hr/Publication/Content.aspx?Sopi=NN2013B153A3221&amp;Ver=NN2013B153A32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usinfo.hr/Publication/Content.aspx?Sopi=NN2018B118A2350&amp;Ver=NN2018B118A2350" TargetMode="External"/><Relationship Id="rId17" Type="http://schemas.openxmlformats.org/officeDocument/2006/relationships/hyperlink" Target="http://www.iusinfo.hr/Publication/Content.aspx?Sopi=NN2019B98A1984&amp;Ver=NN2019B98A1984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usinfo.hr/Publication/Content.aspx?Sopi=NN2017B20A484&amp;Ver=NN2017B20A484" TargetMode="External"/><Relationship Id="rId20" Type="http://schemas.openxmlformats.org/officeDocument/2006/relationships/hyperlink" Target="http://www.iusinfo.hr/Publication/Content.aspx?Sopi=NN2013B81A1724&amp;Ver=NN2013B81A1724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sinfo.hr/Publication/Content.aspx?Sopi=NN2019B39A802&amp;Ver=NN2019B39A802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iusinfo.hr/Publication/Content.aspx?Sopi=NN2015B107A2091&amp;Ver=NN2015B107A2091" TargetMode="External"/><Relationship Id="rId23" Type="http://schemas.openxmlformats.org/officeDocument/2006/relationships/hyperlink" Target="http://www.sn.pgz.hr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iusinfo.hr/Publication/Content.aspx?Sopi=NN2017B20A456&amp;Ver=NN2017B20A456" TargetMode="External"/><Relationship Id="rId19" Type="http://schemas.openxmlformats.org/officeDocument/2006/relationships/hyperlink" Target="http://www.iusinfo.hr/Publication/Content.aspx?Sopi=NN2007B76A2395&amp;Ver=NN2007B76A2395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usinfo.hr/Publication/Content.aspx?Sopi=NN2014B111A2135&amp;Ver=NN2014B111A2135" TargetMode="External"/><Relationship Id="rId22" Type="http://schemas.openxmlformats.org/officeDocument/2006/relationships/hyperlink" Target="http://www.nn.h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C314-C2F2-4F8B-89BF-7A53777A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2019-12-19T08:35:00Z</cp:lastPrinted>
  <dcterms:created xsi:type="dcterms:W3CDTF">2019-12-19T08:45:00Z</dcterms:created>
  <dcterms:modified xsi:type="dcterms:W3CDTF">2019-12-19T08:45:00Z</dcterms:modified>
</cp:coreProperties>
</file>