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80" w:rsidRDefault="00001780" w:rsidP="00001780">
      <w:pPr>
        <w:shd w:val="clear" w:color="auto" w:fill="FFFFFF"/>
        <w:spacing w:before="360" w:after="360" w:line="240" w:lineRule="auto"/>
        <w:ind w:left="225" w:right="225"/>
        <w:jc w:val="center"/>
        <w:outlineLvl w:val="0"/>
        <w:rPr>
          <w:rFonts w:ascii="Arial" w:eastAsia="Times New Roman" w:hAnsi="Arial" w:cs="Arial"/>
          <w:b/>
          <w:bCs/>
          <w:color w:val="313639"/>
          <w:kern w:val="36"/>
          <w:sz w:val="36"/>
          <w:szCs w:val="36"/>
        </w:rPr>
      </w:pPr>
      <w:proofErr w:type="spellStart"/>
      <w:r>
        <w:rPr>
          <w:rFonts w:ascii="Arial" w:eastAsia="Times New Roman" w:hAnsi="Arial" w:cs="Arial"/>
          <w:b/>
          <w:bCs/>
          <w:color w:val="313639"/>
          <w:kern w:val="36"/>
          <w:sz w:val="36"/>
          <w:szCs w:val="36"/>
        </w:rPr>
        <w:t>Javno</w:t>
      </w:r>
      <w:proofErr w:type="spellEnd"/>
      <w:r>
        <w:rPr>
          <w:rFonts w:ascii="Arial" w:eastAsia="Times New Roman" w:hAnsi="Arial" w:cs="Arial"/>
          <w:b/>
          <w:bCs/>
          <w:color w:val="313639"/>
          <w:kern w:val="36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kern w:val="36"/>
          <w:sz w:val="36"/>
          <w:szCs w:val="36"/>
        </w:rPr>
        <w:t>savjetovanje</w:t>
      </w:r>
      <w:proofErr w:type="spellEnd"/>
      <w:r>
        <w:rPr>
          <w:rFonts w:ascii="Arial" w:eastAsia="Times New Roman" w:hAnsi="Arial" w:cs="Arial"/>
          <w:b/>
          <w:bCs/>
          <w:color w:val="313639"/>
          <w:kern w:val="36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13639"/>
          <w:kern w:val="36"/>
          <w:sz w:val="36"/>
          <w:szCs w:val="36"/>
        </w:rPr>
        <w:t>na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313639"/>
          <w:kern w:val="36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kern w:val="36"/>
          <w:sz w:val="36"/>
          <w:szCs w:val="36"/>
        </w:rPr>
        <w:t>prijedlog</w:t>
      </w:r>
      <w:proofErr w:type="spellEnd"/>
      <w:r>
        <w:rPr>
          <w:rFonts w:ascii="Arial" w:eastAsia="Times New Roman" w:hAnsi="Arial" w:cs="Arial"/>
          <w:b/>
          <w:bCs/>
          <w:color w:val="313639"/>
          <w:kern w:val="36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kern w:val="36"/>
          <w:sz w:val="36"/>
          <w:szCs w:val="36"/>
        </w:rPr>
        <w:t>Proračuna</w:t>
      </w:r>
      <w:proofErr w:type="spellEnd"/>
    </w:p>
    <w:p w:rsidR="00001780" w:rsidRDefault="00001780" w:rsidP="0000178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34787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134787"/>
          <w:sz w:val="18"/>
          <w:szCs w:val="18"/>
        </w:rPr>
        <w:t>Javno</w:t>
      </w:r>
      <w:proofErr w:type="spellEnd"/>
      <w:r>
        <w:rPr>
          <w:rFonts w:ascii="Arial" w:eastAsia="Times New Roman" w:hAnsi="Arial" w:cs="Arial"/>
          <w:color w:val="134787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34787"/>
          <w:sz w:val="18"/>
          <w:szCs w:val="18"/>
        </w:rPr>
        <w:t>savjetovanje</w:t>
      </w:r>
      <w:proofErr w:type="spellEnd"/>
    </w:p>
    <w:p w:rsidR="00001780" w:rsidRDefault="00001780" w:rsidP="0000178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34787"/>
          <w:sz w:val="18"/>
          <w:szCs w:val="18"/>
        </w:rPr>
      </w:pPr>
      <w:r>
        <w:rPr>
          <w:rFonts w:ascii="Arial" w:eastAsia="Times New Roman" w:hAnsi="Arial" w:cs="Arial"/>
          <w:color w:val="134787"/>
          <w:sz w:val="18"/>
          <w:szCs w:val="18"/>
        </w:rPr>
        <w:t>Datum: 16.11.2018.</w:t>
      </w:r>
    </w:p>
    <w:p w:rsidR="00001780" w:rsidRDefault="00001780" w:rsidP="0000178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34787"/>
          <w:sz w:val="18"/>
          <w:szCs w:val="18"/>
        </w:rPr>
      </w:pPr>
    </w:p>
    <w:p w:rsidR="00001780" w:rsidRDefault="00001780" w:rsidP="0000178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34787"/>
          <w:sz w:val="18"/>
          <w:szCs w:val="18"/>
        </w:rPr>
      </w:pPr>
    </w:p>
    <w:p w:rsidR="00001780" w:rsidRDefault="00001780" w:rsidP="00001780">
      <w:pPr>
        <w:shd w:val="clear" w:color="auto" w:fill="FFFFFF"/>
        <w:spacing w:line="330" w:lineRule="atLeast"/>
        <w:rPr>
          <w:rFonts w:ascii="Georgia" w:eastAsia="Times New Roman" w:hAnsi="Georgia" w:cs="Arial"/>
          <w:color w:val="134787"/>
          <w:sz w:val="24"/>
          <w:szCs w:val="24"/>
        </w:rPr>
      </w:pPr>
      <w:proofErr w:type="spellStart"/>
      <w:r>
        <w:rPr>
          <w:rFonts w:ascii="Georgia" w:eastAsia="Times New Roman" w:hAnsi="Georgia" w:cs="Arial"/>
          <w:color w:val="134787"/>
          <w:sz w:val="24"/>
          <w:szCs w:val="24"/>
        </w:rPr>
        <w:t>Javno</w:t>
      </w:r>
      <w:proofErr w:type="spellEnd"/>
      <w:r>
        <w:rPr>
          <w:rFonts w:ascii="Georgia" w:eastAsia="Times New Roman" w:hAnsi="Georgia" w:cs="Arial"/>
          <w:color w:val="134787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134787"/>
          <w:sz w:val="24"/>
          <w:szCs w:val="24"/>
        </w:rPr>
        <w:t>savjetovanje</w:t>
      </w:r>
      <w:proofErr w:type="spellEnd"/>
      <w:r>
        <w:rPr>
          <w:rFonts w:ascii="Georgia" w:eastAsia="Times New Roman" w:hAnsi="Georgia" w:cs="Arial"/>
          <w:color w:val="134787"/>
          <w:sz w:val="24"/>
          <w:szCs w:val="24"/>
        </w:rPr>
        <w:t xml:space="preserve"> je </w:t>
      </w:r>
      <w:proofErr w:type="spellStart"/>
      <w:r>
        <w:rPr>
          <w:rFonts w:ascii="Georgia" w:eastAsia="Times New Roman" w:hAnsi="Georgia" w:cs="Arial"/>
          <w:b/>
          <w:bCs/>
          <w:color w:val="134787"/>
          <w:sz w:val="24"/>
          <w:szCs w:val="24"/>
        </w:rPr>
        <w:t>otvoreno</w:t>
      </w:r>
      <w:proofErr w:type="spellEnd"/>
      <w:r>
        <w:rPr>
          <w:rFonts w:ascii="Georgia" w:eastAsia="Times New Roman" w:hAnsi="Georgia" w:cs="Arial"/>
          <w:b/>
          <w:bCs/>
          <w:color w:val="134787"/>
          <w:sz w:val="24"/>
          <w:szCs w:val="24"/>
        </w:rPr>
        <w:t xml:space="preserve"> </w:t>
      </w:r>
      <w:proofErr w:type="gramStart"/>
      <w:r>
        <w:rPr>
          <w:rFonts w:ascii="Georgia" w:eastAsia="Times New Roman" w:hAnsi="Georgia" w:cs="Arial"/>
          <w:b/>
          <w:bCs/>
          <w:color w:val="134787"/>
          <w:sz w:val="24"/>
          <w:szCs w:val="24"/>
        </w:rPr>
        <w:t>od</w:t>
      </w:r>
      <w:proofErr w:type="gramEnd"/>
      <w:r>
        <w:rPr>
          <w:rFonts w:ascii="Georgia" w:eastAsia="Times New Roman" w:hAnsi="Georgia" w:cs="Arial"/>
          <w:b/>
          <w:bCs/>
          <w:color w:val="134787"/>
          <w:sz w:val="24"/>
          <w:szCs w:val="24"/>
        </w:rPr>
        <w:t xml:space="preserve"> 16.studenog do 26. </w:t>
      </w:r>
      <w:proofErr w:type="spellStart"/>
      <w:proofErr w:type="gramStart"/>
      <w:r>
        <w:rPr>
          <w:rFonts w:ascii="Georgia" w:eastAsia="Times New Roman" w:hAnsi="Georgia" w:cs="Arial"/>
          <w:b/>
          <w:bCs/>
          <w:color w:val="134787"/>
          <w:sz w:val="24"/>
          <w:szCs w:val="24"/>
        </w:rPr>
        <w:t>studenog</w:t>
      </w:r>
      <w:proofErr w:type="spellEnd"/>
      <w:proofErr w:type="gramEnd"/>
      <w:r>
        <w:rPr>
          <w:rFonts w:ascii="Georgia" w:eastAsia="Times New Roman" w:hAnsi="Georgia" w:cs="Arial"/>
          <w:b/>
          <w:bCs/>
          <w:color w:val="134787"/>
          <w:sz w:val="24"/>
          <w:szCs w:val="24"/>
        </w:rPr>
        <w:t xml:space="preserve"> 2018.</w:t>
      </w:r>
      <w:r>
        <w:rPr>
          <w:rFonts w:ascii="Georgia" w:eastAsia="Times New Roman" w:hAnsi="Georgia" w:cs="Arial"/>
          <w:color w:val="134787"/>
          <w:sz w:val="24"/>
          <w:szCs w:val="24"/>
        </w:rPr>
        <w:t> </w:t>
      </w:r>
      <w:proofErr w:type="spellStart"/>
      <w:proofErr w:type="gramStart"/>
      <w:r>
        <w:rPr>
          <w:rFonts w:ascii="Georgia" w:eastAsia="Times New Roman" w:hAnsi="Georgia" w:cs="Arial"/>
          <w:color w:val="134787"/>
          <w:sz w:val="24"/>
          <w:szCs w:val="24"/>
        </w:rPr>
        <w:t>godine</w:t>
      </w:r>
      <w:proofErr w:type="spellEnd"/>
      <w:proofErr w:type="gramEnd"/>
      <w:r>
        <w:rPr>
          <w:rFonts w:ascii="Georgia" w:eastAsia="Times New Roman" w:hAnsi="Georgia" w:cs="Arial"/>
          <w:color w:val="134787"/>
          <w:sz w:val="24"/>
          <w:szCs w:val="24"/>
        </w:rPr>
        <w:t>.</w:t>
      </w:r>
    </w:p>
    <w:p w:rsidR="00001780" w:rsidRDefault="00001780" w:rsidP="00001780">
      <w:pPr>
        <w:shd w:val="clear" w:color="auto" w:fill="FFFFFF"/>
        <w:spacing w:line="330" w:lineRule="atLeast"/>
        <w:rPr>
          <w:rFonts w:ascii="Arial" w:eastAsia="Times New Roman" w:hAnsi="Arial" w:cs="Arial"/>
          <w:color w:val="313639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Javno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savjetovanje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Prijedlog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Proračuna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Općine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Matulji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2019.godinu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te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Projekciju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2020.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i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2021.godinu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Program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gradnje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komunalne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infrastrukture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2019.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kao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Program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održavanja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komunalne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infrastrukture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2019.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trajati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kraće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od 30 dana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iz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razloga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što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temeljem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Zakona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komunalnom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gospodarstvu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(“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Narodne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novine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” 68/18)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Programi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građenja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komunalne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infrastrukture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2019.kao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Program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održavanja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komunalne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infrastrukture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2019.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trebaju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donijeti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najkasnije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30 dana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prije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dana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isteka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kalendarske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koju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doneseni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programi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što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znači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da se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navedeni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programi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trebaju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donijeti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do 01.prosinca 2018.godine.Također je u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člancima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67.i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članku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72.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Zakona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komunalnom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gospodarstvu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propisano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da se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Programi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gradnje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komunalne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infrastrukture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2019.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kao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Program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održavanja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komunalne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infrastrukture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2019.donose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istodobno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donošenjem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Proračuna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jedinice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lokalne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samouprave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>.</w:t>
      </w:r>
    </w:p>
    <w:p w:rsidR="00001780" w:rsidRDefault="00001780" w:rsidP="00001780">
      <w:pPr>
        <w:shd w:val="clear" w:color="auto" w:fill="FFFFFF"/>
        <w:spacing w:line="330" w:lineRule="atLeast"/>
        <w:rPr>
          <w:rFonts w:ascii="Arial" w:eastAsia="Times New Roman" w:hAnsi="Arial" w:cs="Arial"/>
          <w:color w:val="313639"/>
          <w:sz w:val="20"/>
          <w:szCs w:val="20"/>
        </w:rPr>
      </w:pP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Općina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Matulji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ovim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putem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poziva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sve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zainteresirane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uključivanje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Javno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savjetovanje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Prijedlog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Proračuna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Općine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Matulji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2019.godinu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te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Projekciju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2020.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i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2021.godinu.</w:t>
      </w:r>
    </w:p>
    <w:p w:rsidR="0091069B" w:rsidRDefault="0091069B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</w:p>
    <w:p w:rsidR="00001780" w:rsidRDefault="00001780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 </w:t>
      </w:r>
      <w:proofErr w:type="spellStart"/>
      <w:r>
        <w:rPr>
          <w:rFonts w:ascii="Arial" w:eastAsia="Times New Roman" w:hAnsi="Arial" w:cs="Arial"/>
          <w:sz w:val="20"/>
          <w:szCs w:val="20"/>
        </w:rPr>
        <w:t>materijalima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nalazi</w:t>
      </w:r>
      <w:proofErr w:type="spellEnd"/>
      <w:r>
        <w:rPr>
          <w:rFonts w:ascii="Arial" w:eastAsia="Times New Roman" w:hAnsi="Arial" w:cs="Arial"/>
          <w:sz w:val="20"/>
          <w:szCs w:val="20"/>
        </w:rPr>
        <w:t> </w:t>
      </w:r>
    </w:p>
    <w:p w:rsidR="0091069B" w:rsidRDefault="0091069B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91069B" w:rsidRDefault="0091069B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hyperlink r:id="rId5" w:tgtFrame="_blank" w:history="1">
        <w:proofErr w:type="spellStart"/>
        <w:r w:rsidRPr="00F31ED4">
          <w:rPr>
            <w:rFonts w:ascii="Arial" w:eastAsia="Times New Roman" w:hAnsi="Arial" w:cs="Arial"/>
            <w:sz w:val="20"/>
            <w:szCs w:val="20"/>
            <w:u w:val="single"/>
          </w:rPr>
          <w:t>Obrazloženje</w:t>
        </w:r>
        <w:proofErr w:type="spellEnd"/>
        <w:r w:rsidRPr="00F31ED4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  <w:proofErr w:type="spellStart"/>
        <w:r w:rsidRPr="00F31ED4">
          <w:rPr>
            <w:rFonts w:ascii="Arial" w:eastAsia="Times New Roman" w:hAnsi="Arial" w:cs="Arial"/>
            <w:sz w:val="20"/>
            <w:szCs w:val="20"/>
            <w:u w:val="single"/>
          </w:rPr>
          <w:t>Proračuna</w:t>
        </w:r>
        <w:proofErr w:type="spellEnd"/>
      </w:hyperlink>
      <w:r w:rsidRPr="00595D8E">
        <w:rPr>
          <w:rFonts w:ascii="Arial" w:eastAsia="Times New Roman" w:hAnsi="Arial" w:cs="Arial"/>
          <w:sz w:val="20"/>
          <w:szCs w:val="20"/>
        </w:rPr>
        <w:t>,</w:t>
      </w:r>
    </w:p>
    <w:p w:rsidR="0091069B" w:rsidRDefault="0091069B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Program</w:t>
      </w:r>
      <w:r>
        <w:rPr>
          <w:rFonts w:ascii="Arial" w:eastAsia="Times New Roman" w:hAnsi="Arial" w:cs="Arial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financijsk</w:t>
      </w:r>
      <w:r>
        <w:rPr>
          <w:rFonts w:ascii="Arial" w:eastAsia="Times New Roman" w:hAnsi="Arial" w:cs="Arial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planove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proračunskih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korisnika</w:t>
      </w:r>
      <w:proofErr w:type="spellEnd"/>
    </w:p>
    <w:p w:rsidR="0091069B" w:rsidRDefault="0091069B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Prijedlog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gradnje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objekata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uređaja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komunalne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infrastrukture</w:t>
      </w:r>
      <w:proofErr w:type="spellEnd"/>
    </w:p>
    <w:p w:rsidR="0091069B" w:rsidRDefault="0091069B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91069B" w:rsidRDefault="0091069B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91069B" w:rsidRDefault="0091069B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91069B" w:rsidRDefault="0091069B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91069B" w:rsidRDefault="0091069B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Ističemo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da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svi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prijedlozi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amandmani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moraju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sastavljeni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način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da se ne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mijenja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ukupna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visina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Proračuna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već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ako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predlaže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povećanje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smanjenje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određene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stavke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Razdjel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Glava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, Program,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Aktivnost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istodobno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nužno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predložiti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stavku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kojoj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prijedlog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uravnotežuje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Također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bi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prijedlog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trebao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sadržavati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ime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naziv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predlagatelja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te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obrazloženje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>.</w:t>
      </w: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r>
        <w:rPr>
          <w:rFonts w:ascii="Arial" w:eastAsia="Times New Roman" w:hAnsi="Arial" w:cs="Arial"/>
          <w:color w:val="313639"/>
          <w:sz w:val="20"/>
          <w:szCs w:val="20"/>
        </w:rPr>
        <w:t> </w:t>
      </w: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</w:p>
    <w:p w:rsidR="00001780" w:rsidRDefault="00001780" w:rsidP="00001780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 </w:t>
      </w:r>
      <w:proofErr w:type="spellStart"/>
      <w:r>
        <w:rPr>
          <w:rFonts w:ascii="Arial" w:eastAsia="Times New Roman" w:hAnsi="Arial" w:cs="Arial"/>
          <w:sz w:val="20"/>
          <w:szCs w:val="20"/>
        </w:rPr>
        <w:t>nastavku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prikazujemo</w:t>
      </w:r>
      <w:proofErr w:type="spellEnd"/>
      <w:r>
        <w:rPr>
          <w:rFonts w:ascii="Arial" w:eastAsia="Times New Roman" w:hAnsi="Arial" w:cs="Arial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primjer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amandmana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na</w:t>
      </w:r>
      <w:proofErr w:type="spellEnd"/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Proračun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:</w:t>
      </w:r>
    </w:p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933"/>
        <w:gridCol w:w="2615"/>
        <w:gridCol w:w="2135"/>
      </w:tblGrid>
      <w:tr w:rsidR="00001780" w:rsidTr="00001780">
        <w:trPr>
          <w:jc w:val="center"/>
        </w:trPr>
        <w:tc>
          <w:tcPr>
            <w:tcW w:w="1725" w:type="dxa"/>
            <w:vMerge w:val="restart"/>
            <w:shd w:val="clear" w:color="auto" w:fill="F3F7FA"/>
            <w:tcMar>
              <w:top w:w="90" w:type="dxa"/>
              <w:left w:w="30" w:type="dxa"/>
              <w:bottom w:w="90" w:type="dxa"/>
              <w:right w:w="150" w:type="dxa"/>
            </w:tcMar>
            <w:hideMark/>
          </w:tcPr>
          <w:p w:rsidR="00001780" w:rsidRDefault="00001780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PREDLAGATELJ</w:t>
            </w:r>
          </w:p>
        </w:tc>
        <w:tc>
          <w:tcPr>
            <w:tcW w:w="6000" w:type="dxa"/>
            <w:gridSpan w:val="2"/>
            <w:shd w:val="clear" w:color="auto" w:fill="F3F7FA"/>
            <w:tcMar>
              <w:top w:w="90" w:type="dxa"/>
              <w:left w:w="30" w:type="dxa"/>
              <w:bottom w:w="90" w:type="dxa"/>
              <w:right w:w="150" w:type="dxa"/>
            </w:tcMar>
            <w:hideMark/>
          </w:tcPr>
          <w:p w:rsidR="00001780" w:rsidRDefault="00001780">
            <w:pPr>
              <w:spacing w:after="0" w:line="255" w:lineRule="atLeast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PRIJEDLOG</w:t>
            </w:r>
          </w:p>
        </w:tc>
        <w:tc>
          <w:tcPr>
            <w:tcW w:w="1725" w:type="dxa"/>
            <w:vMerge w:val="restart"/>
            <w:shd w:val="clear" w:color="auto" w:fill="F3F7FA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001780" w:rsidRDefault="00001780">
            <w:pPr>
              <w:spacing w:after="0" w:line="255" w:lineRule="atLeast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01780" w:rsidRDefault="00001780">
            <w:pPr>
              <w:spacing w:after="0" w:line="255" w:lineRule="atLeast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OBRAZLOŽENJE</w:t>
            </w:r>
          </w:p>
        </w:tc>
      </w:tr>
      <w:tr w:rsidR="003D1A4E" w:rsidTr="0000178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01780" w:rsidRDefault="0000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FFFFFF"/>
            <w:tcMar>
              <w:top w:w="90" w:type="dxa"/>
              <w:left w:w="30" w:type="dxa"/>
              <w:bottom w:w="90" w:type="dxa"/>
              <w:right w:w="150" w:type="dxa"/>
            </w:tcMar>
            <w:hideMark/>
          </w:tcPr>
          <w:p w:rsidR="00001780" w:rsidRPr="0091069B" w:rsidRDefault="00001780">
            <w:pPr>
              <w:spacing w:after="0" w:line="255" w:lineRule="atLeast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69B">
              <w:rPr>
                <w:rFonts w:ascii="Arial" w:eastAsia="Times New Roman" w:hAnsi="Arial" w:cs="Arial"/>
                <w:sz w:val="20"/>
                <w:szCs w:val="20"/>
              </w:rPr>
              <w:t>STAVKA PRORAČUNA</w:t>
            </w:r>
          </w:p>
        </w:tc>
        <w:tc>
          <w:tcPr>
            <w:tcW w:w="2970" w:type="dxa"/>
            <w:shd w:val="clear" w:color="auto" w:fill="FFFFFF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001780" w:rsidRPr="0091069B" w:rsidRDefault="00001780">
            <w:pPr>
              <w:spacing w:after="0" w:line="255" w:lineRule="atLeast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69B">
              <w:rPr>
                <w:rFonts w:ascii="Arial" w:eastAsia="Times New Roman" w:hAnsi="Arial" w:cs="Arial"/>
                <w:sz w:val="20"/>
                <w:szCs w:val="20"/>
              </w:rPr>
              <w:t>STAVKA PRORAČUNA</w:t>
            </w:r>
          </w:p>
        </w:tc>
        <w:tc>
          <w:tcPr>
            <w:tcW w:w="0" w:type="auto"/>
            <w:vMerge/>
            <w:vAlign w:val="center"/>
            <w:hideMark/>
          </w:tcPr>
          <w:p w:rsidR="00001780" w:rsidRDefault="00001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A4E" w:rsidTr="00001780">
        <w:trPr>
          <w:trHeight w:val="2190"/>
          <w:jc w:val="center"/>
        </w:trPr>
        <w:tc>
          <w:tcPr>
            <w:tcW w:w="1665" w:type="dxa"/>
            <w:shd w:val="clear" w:color="auto" w:fill="F3F7FA"/>
            <w:tcMar>
              <w:top w:w="90" w:type="dxa"/>
              <w:left w:w="30" w:type="dxa"/>
              <w:bottom w:w="90" w:type="dxa"/>
              <w:right w:w="150" w:type="dxa"/>
            </w:tcMar>
            <w:hideMark/>
          </w:tcPr>
          <w:p w:rsidR="00001780" w:rsidRDefault="00001780">
            <w:pPr>
              <w:spacing w:after="0" w:line="255" w:lineRule="atLeast"/>
              <w:ind w:left="15" w:right="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01780" w:rsidRDefault="00001780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5" w:type="dxa"/>
            <w:shd w:val="clear" w:color="auto" w:fill="F3F7FA"/>
            <w:tcMar>
              <w:top w:w="90" w:type="dxa"/>
              <w:left w:w="30" w:type="dxa"/>
              <w:bottom w:w="90" w:type="dxa"/>
              <w:right w:w="150" w:type="dxa"/>
            </w:tcMar>
            <w:hideMark/>
          </w:tcPr>
          <w:p w:rsidR="00367D62" w:rsidRPr="0091069B" w:rsidRDefault="00001780" w:rsidP="00367D62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RAZDJEL </w:t>
            </w:r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91069B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367D62" w:rsidRPr="0091069B" w:rsidRDefault="00001780" w:rsidP="00367D62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Glava</w:t>
            </w:r>
            <w:proofErr w:type="spellEnd"/>
            <w:r w:rsidR="00367D62"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Predstavničko</w:t>
            </w:r>
            <w:proofErr w:type="spellEnd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izvršno</w:t>
            </w:r>
            <w:proofErr w:type="spellEnd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tijelo</w:t>
            </w:r>
            <w:proofErr w:type="spellEnd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367D62" w:rsidRPr="0091069B" w:rsidRDefault="00001780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Program: </w:t>
            </w:r>
            <w:proofErr w:type="spellStart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Predstavničko</w:t>
            </w:r>
            <w:proofErr w:type="spellEnd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tijelo-općinsko</w:t>
            </w:r>
            <w:proofErr w:type="spellEnd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vijeće</w:t>
            </w:r>
            <w:proofErr w:type="spellEnd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001780" w:rsidRPr="0091069B" w:rsidRDefault="00001780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Aktivnost</w:t>
            </w:r>
            <w:proofErr w:type="spellEnd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redovnog</w:t>
            </w:r>
            <w:proofErr w:type="spellEnd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rada</w:t>
            </w:r>
            <w:proofErr w:type="spellEnd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vijeća</w:t>
            </w:r>
            <w:proofErr w:type="spellEnd"/>
          </w:p>
          <w:p w:rsidR="00367D62" w:rsidRPr="0091069B" w:rsidRDefault="00367D62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Pozicija</w:t>
            </w:r>
            <w:proofErr w:type="spellEnd"/>
            <w:proofErr w:type="gram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:……</w:t>
            </w:r>
            <w:proofErr w:type="gramEnd"/>
          </w:p>
          <w:p w:rsidR="00001780" w:rsidRPr="0091069B" w:rsidRDefault="00001780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smanjenje</w:t>
            </w:r>
            <w:proofErr w:type="spellEnd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od 50.000 </w:t>
            </w:r>
            <w:proofErr w:type="spell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970" w:type="dxa"/>
            <w:shd w:val="clear" w:color="auto" w:fill="F3F7FA"/>
            <w:tcMar>
              <w:top w:w="90" w:type="dxa"/>
              <w:left w:w="30" w:type="dxa"/>
              <w:bottom w:w="90" w:type="dxa"/>
              <w:right w:w="150" w:type="dxa"/>
            </w:tcMar>
            <w:hideMark/>
          </w:tcPr>
          <w:p w:rsidR="00367D62" w:rsidRPr="0091069B" w:rsidRDefault="00001780" w:rsidP="00367D62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RAZDJEL </w:t>
            </w:r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367D62" w:rsidRPr="0091069B" w:rsidRDefault="00001780" w:rsidP="00367D62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Glava</w:t>
            </w:r>
            <w:proofErr w:type="spellEnd"/>
            <w:r w:rsidR="00367D62"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>Jedinstveni</w:t>
            </w:r>
            <w:proofErr w:type="spellEnd"/>
            <w:r w:rsidR="003D1A4E"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67D62" w:rsidRPr="0091069B" w:rsidRDefault="00367D62" w:rsidP="00367D62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7D62" w:rsidRPr="0091069B" w:rsidRDefault="00001780" w:rsidP="00367D62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Program: </w:t>
            </w:r>
            <w:proofErr w:type="spellStart"/>
            <w:r w:rsidR="00367D62" w:rsidRPr="0091069B">
              <w:rPr>
                <w:rFonts w:ascii="Arial" w:eastAsia="Times New Roman" w:hAnsi="Arial" w:cs="Arial"/>
                <w:sz w:val="20"/>
                <w:szCs w:val="20"/>
              </w:rPr>
              <w:t>Školstvo</w:t>
            </w:r>
            <w:proofErr w:type="spellEnd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367D62" w:rsidRPr="0091069B" w:rsidRDefault="00367D62" w:rsidP="00367D62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7D62" w:rsidRPr="0091069B" w:rsidRDefault="00001780" w:rsidP="00367D62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Aktivnost</w:t>
            </w:r>
            <w:proofErr w:type="spellEnd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="00367D62" w:rsidRPr="0091069B">
              <w:rPr>
                <w:rFonts w:ascii="Arial" w:eastAsia="Times New Roman" w:hAnsi="Arial" w:cs="Arial"/>
                <w:sz w:val="20"/>
                <w:szCs w:val="20"/>
              </w:rPr>
              <w:t>Visoko</w:t>
            </w:r>
            <w:proofErr w:type="spellEnd"/>
            <w:r w:rsidR="00367D62"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67D62" w:rsidRPr="0091069B">
              <w:rPr>
                <w:rFonts w:ascii="Arial" w:eastAsia="Times New Roman" w:hAnsi="Arial" w:cs="Arial"/>
                <w:sz w:val="20"/>
                <w:szCs w:val="20"/>
              </w:rPr>
              <w:t>obrazovanje</w:t>
            </w:r>
            <w:proofErr w:type="spellEnd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67D62" w:rsidRPr="0091069B" w:rsidRDefault="00367D62" w:rsidP="00367D62">
            <w:pPr>
              <w:spacing w:after="0" w:line="255" w:lineRule="atLeast"/>
              <w:ind w:right="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Pozicija</w:t>
            </w:r>
            <w:proofErr w:type="spellEnd"/>
            <w:proofErr w:type="gram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:……</w:t>
            </w:r>
            <w:proofErr w:type="gramEnd"/>
          </w:p>
          <w:p w:rsidR="00001780" w:rsidRPr="0091069B" w:rsidRDefault="00001780" w:rsidP="00367D62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Povećanje</w:t>
            </w:r>
            <w:proofErr w:type="spellEnd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 xml:space="preserve"> od 50.000 </w:t>
            </w:r>
            <w:proofErr w:type="spellStart"/>
            <w:r w:rsidRPr="0091069B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  <w:p w:rsidR="00367D62" w:rsidRPr="0091069B" w:rsidRDefault="00367D62" w:rsidP="00367D62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3F7FA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001780" w:rsidRDefault="00001780">
            <w:pPr>
              <w:spacing w:after="0" w:line="255" w:lineRule="atLeast"/>
              <w:ind w:left="15" w:right="15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:rsidR="00001780" w:rsidRPr="0045654F" w:rsidRDefault="00001780" w:rsidP="00456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639"/>
          <w:sz w:val="18"/>
          <w:szCs w:val="18"/>
        </w:rPr>
      </w:pPr>
      <w:r>
        <w:rPr>
          <w:rFonts w:ascii="Arial" w:eastAsia="Times New Roman" w:hAnsi="Arial" w:cs="Arial"/>
          <w:color w:val="313639"/>
          <w:sz w:val="18"/>
          <w:szCs w:val="18"/>
        </w:rPr>
        <w:t> </w:t>
      </w: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Jedno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od</w:t>
      </w:r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najvažnijih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načela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Proračuna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je da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isti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mora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uravnotežen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=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ukupna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visina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planiranih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prihoda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mora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istovjetna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ukupnoj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visini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planiranih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rashoda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Nadalje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određeni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rashodi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mogu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financirati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isključivo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iz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određenih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prihoda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–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namjenski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prihodi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>.</w:t>
      </w:r>
    </w:p>
    <w:p w:rsidR="00001780" w:rsidRDefault="00001780" w:rsidP="0000178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Prihodi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koji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mogu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usmjereni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isključivo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određenu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namjenu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su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>:</w:t>
      </w:r>
    </w:p>
    <w:p w:rsidR="00001780" w:rsidRDefault="00001780" w:rsidP="0000178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Prihodi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od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prodaje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imovine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=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kapitalna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ulaganja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imovinu</w:t>
      </w:r>
      <w:proofErr w:type="spellEnd"/>
    </w:p>
    <w:p w:rsidR="00001780" w:rsidRDefault="00001780" w:rsidP="0000178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Komunalni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doprinos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=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samo</w:t>
      </w:r>
      <w:proofErr w:type="spellEnd"/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za</w:t>
      </w:r>
      <w:proofErr w:type="spellEnd"/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građenje</w:t>
      </w:r>
      <w:proofErr w:type="spellEnd"/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 I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održavanje</w:t>
      </w:r>
      <w:proofErr w:type="spellEnd"/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komunalne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infrastrukture</w:t>
      </w:r>
      <w:proofErr w:type="spellEnd"/>
    </w:p>
    <w:p w:rsidR="0045654F" w:rsidRPr="0045654F" w:rsidRDefault="00001780" w:rsidP="0082754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proofErr w:type="spellStart"/>
      <w:r w:rsidRPr="0045654F">
        <w:rPr>
          <w:rFonts w:ascii="Arial" w:eastAsia="Times New Roman" w:hAnsi="Arial" w:cs="Arial"/>
          <w:color w:val="313639"/>
          <w:sz w:val="18"/>
          <w:szCs w:val="18"/>
        </w:rPr>
        <w:t>Komunalna</w:t>
      </w:r>
      <w:proofErr w:type="spellEnd"/>
      <w:r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Pr="0045654F">
        <w:rPr>
          <w:rFonts w:ascii="Arial" w:eastAsia="Times New Roman" w:hAnsi="Arial" w:cs="Arial"/>
          <w:color w:val="313639"/>
          <w:sz w:val="18"/>
          <w:szCs w:val="18"/>
        </w:rPr>
        <w:t>naknada</w:t>
      </w:r>
      <w:proofErr w:type="spellEnd"/>
      <w:r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= </w:t>
      </w:r>
      <w:proofErr w:type="spellStart"/>
      <w:r w:rsidRPr="0045654F">
        <w:rPr>
          <w:rFonts w:ascii="Arial" w:eastAsia="Times New Roman" w:hAnsi="Arial" w:cs="Arial"/>
          <w:color w:val="313639"/>
          <w:sz w:val="18"/>
          <w:szCs w:val="18"/>
        </w:rPr>
        <w:t>održavanje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i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građenje</w:t>
      </w:r>
      <w:proofErr w:type="spellEnd"/>
      <w:r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Pr="0045654F">
        <w:rPr>
          <w:rFonts w:ascii="Arial" w:eastAsia="Times New Roman" w:hAnsi="Arial" w:cs="Arial"/>
          <w:color w:val="313639"/>
          <w:sz w:val="18"/>
          <w:szCs w:val="18"/>
        </w:rPr>
        <w:t>komunalne</w:t>
      </w:r>
      <w:proofErr w:type="spellEnd"/>
      <w:r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Pr="0045654F">
        <w:rPr>
          <w:rFonts w:ascii="Arial" w:eastAsia="Times New Roman" w:hAnsi="Arial" w:cs="Arial"/>
          <w:color w:val="313639"/>
          <w:sz w:val="18"/>
          <w:szCs w:val="18"/>
        </w:rPr>
        <w:t>infrastrukture,</w:t>
      </w:r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a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može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temeljem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odluke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predstavničkog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tijela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JLS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koristiti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za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finaciranje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građenja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i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održavanja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objekata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preškolskog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,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školskog,zdravstvenog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I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socijalnog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sadržaja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,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javnih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građevina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sportske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I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kultirne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namjene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,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te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poboljšanja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energetske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učinskovitosti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u </w:t>
      </w:r>
      <w:proofErr w:type="spellStart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>vlasništvu</w:t>
      </w:r>
      <w:proofErr w:type="spellEnd"/>
      <w:r w:rsidR="0045654F" w:rsidRPr="0045654F">
        <w:rPr>
          <w:rFonts w:ascii="Arial" w:eastAsia="Times New Roman" w:hAnsi="Arial" w:cs="Arial"/>
          <w:color w:val="313639"/>
          <w:sz w:val="18"/>
          <w:szCs w:val="18"/>
        </w:rPr>
        <w:t xml:space="preserve"> JLS</w:t>
      </w:r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,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ako</w:t>
      </w:r>
      <w:proofErr w:type="spellEnd"/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 se time ne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dovodi</w:t>
      </w:r>
      <w:proofErr w:type="spellEnd"/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 u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pitanje</w:t>
      </w:r>
      <w:proofErr w:type="spellEnd"/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mogućnost</w:t>
      </w:r>
      <w:proofErr w:type="spellEnd"/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održavanja</w:t>
      </w:r>
      <w:proofErr w:type="spellEnd"/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 I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građenja</w:t>
      </w:r>
      <w:proofErr w:type="spellEnd"/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komunalne</w:t>
      </w:r>
      <w:proofErr w:type="spellEnd"/>
      <w:r w:rsidR="0045654F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45654F">
        <w:rPr>
          <w:rFonts w:ascii="Arial" w:eastAsia="Times New Roman" w:hAnsi="Arial" w:cs="Arial"/>
          <w:color w:val="313639"/>
          <w:sz w:val="18"/>
          <w:szCs w:val="18"/>
        </w:rPr>
        <w:t>infrastrukture</w:t>
      </w:r>
      <w:proofErr w:type="spellEnd"/>
    </w:p>
    <w:p w:rsidR="00001780" w:rsidRPr="0045654F" w:rsidRDefault="00001780" w:rsidP="0082754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proofErr w:type="spellStart"/>
      <w:r w:rsidRPr="0045654F">
        <w:rPr>
          <w:rFonts w:ascii="Arial" w:eastAsia="Times New Roman" w:hAnsi="Arial" w:cs="Arial"/>
          <w:sz w:val="18"/>
          <w:szCs w:val="18"/>
        </w:rPr>
        <w:t>Spomenička</w:t>
      </w:r>
      <w:proofErr w:type="spellEnd"/>
      <w:r w:rsidRPr="0045654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5654F">
        <w:rPr>
          <w:rFonts w:ascii="Arial" w:eastAsia="Times New Roman" w:hAnsi="Arial" w:cs="Arial"/>
          <w:sz w:val="18"/>
          <w:szCs w:val="18"/>
        </w:rPr>
        <w:t>renta</w:t>
      </w:r>
      <w:proofErr w:type="spellEnd"/>
      <w:r w:rsidRPr="0045654F">
        <w:rPr>
          <w:rFonts w:ascii="Arial" w:eastAsia="Times New Roman" w:hAnsi="Arial" w:cs="Arial"/>
          <w:sz w:val="18"/>
          <w:szCs w:val="18"/>
        </w:rPr>
        <w:t xml:space="preserve"> = </w:t>
      </w:r>
      <w:proofErr w:type="spellStart"/>
      <w:r w:rsidRPr="0045654F">
        <w:rPr>
          <w:rFonts w:ascii="Arial" w:eastAsia="Times New Roman" w:hAnsi="Arial" w:cs="Arial"/>
          <w:sz w:val="18"/>
          <w:szCs w:val="18"/>
        </w:rPr>
        <w:t>zaštita</w:t>
      </w:r>
      <w:proofErr w:type="spellEnd"/>
      <w:r w:rsidRPr="0045654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5654F">
        <w:rPr>
          <w:rFonts w:ascii="Arial" w:eastAsia="Times New Roman" w:hAnsi="Arial" w:cs="Arial"/>
          <w:sz w:val="18"/>
          <w:szCs w:val="18"/>
        </w:rPr>
        <w:t>i</w:t>
      </w:r>
      <w:proofErr w:type="spellEnd"/>
      <w:r w:rsidRPr="0045654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5654F">
        <w:rPr>
          <w:rFonts w:ascii="Arial" w:eastAsia="Times New Roman" w:hAnsi="Arial" w:cs="Arial"/>
          <w:sz w:val="18"/>
          <w:szCs w:val="18"/>
        </w:rPr>
        <w:t>očuvanje</w:t>
      </w:r>
      <w:proofErr w:type="spellEnd"/>
      <w:r w:rsidRPr="0045654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5654F">
        <w:rPr>
          <w:rFonts w:ascii="Arial" w:eastAsia="Times New Roman" w:hAnsi="Arial" w:cs="Arial"/>
          <w:sz w:val="18"/>
          <w:szCs w:val="18"/>
        </w:rPr>
        <w:t>kulturnih</w:t>
      </w:r>
      <w:proofErr w:type="spellEnd"/>
      <w:r w:rsidRPr="0045654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5654F">
        <w:rPr>
          <w:rFonts w:ascii="Arial" w:eastAsia="Times New Roman" w:hAnsi="Arial" w:cs="Arial"/>
          <w:sz w:val="18"/>
          <w:szCs w:val="18"/>
        </w:rPr>
        <w:t>dobara</w:t>
      </w:r>
      <w:proofErr w:type="spellEnd"/>
      <w:r w:rsidRPr="0045654F">
        <w:rPr>
          <w:rFonts w:ascii="Arial" w:eastAsia="Times New Roman" w:hAnsi="Arial" w:cs="Arial"/>
          <w:sz w:val="18"/>
          <w:szCs w:val="18"/>
        </w:rPr>
        <w:t xml:space="preserve"> </w:t>
      </w:r>
    </w:p>
    <w:p w:rsidR="0091069B" w:rsidRPr="0091069B" w:rsidRDefault="00001780" w:rsidP="00A725ED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313639"/>
          <w:sz w:val="20"/>
          <w:szCs w:val="20"/>
        </w:rPr>
      </w:pPr>
      <w:proofErr w:type="spellStart"/>
      <w:r w:rsidRPr="0091069B">
        <w:rPr>
          <w:rFonts w:ascii="Arial" w:eastAsia="Times New Roman" w:hAnsi="Arial" w:cs="Arial"/>
          <w:sz w:val="18"/>
          <w:szCs w:val="18"/>
        </w:rPr>
        <w:t>Boravišna</w:t>
      </w:r>
      <w:proofErr w:type="spellEnd"/>
      <w:r w:rsidRPr="0091069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069B">
        <w:rPr>
          <w:rFonts w:ascii="Arial" w:eastAsia="Times New Roman" w:hAnsi="Arial" w:cs="Arial"/>
          <w:sz w:val="18"/>
          <w:szCs w:val="18"/>
        </w:rPr>
        <w:t>pristojba</w:t>
      </w:r>
      <w:proofErr w:type="spellEnd"/>
      <w:r w:rsidRPr="0091069B">
        <w:rPr>
          <w:rFonts w:ascii="Arial" w:eastAsia="Times New Roman" w:hAnsi="Arial" w:cs="Arial"/>
          <w:sz w:val="18"/>
          <w:szCs w:val="18"/>
        </w:rPr>
        <w:t xml:space="preserve"> </w:t>
      </w:r>
      <w:r w:rsidRPr="0091069B">
        <w:rPr>
          <w:rFonts w:ascii="Arial" w:eastAsia="Times New Roman" w:hAnsi="Arial" w:cs="Arial"/>
          <w:color w:val="313639"/>
          <w:sz w:val="18"/>
          <w:szCs w:val="18"/>
        </w:rPr>
        <w:t xml:space="preserve">= </w:t>
      </w:r>
      <w:proofErr w:type="spellStart"/>
      <w:r w:rsidRPr="0091069B">
        <w:rPr>
          <w:rFonts w:ascii="Arial" w:eastAsia="Times New Roman" w:hAnsi="Arial" w:cs="Arial"/>
          <w:color w:val="313639"/>
          <w:sz w:val="18"/>
          <w:szCs w:val="18"/>
        </w:rPr>
        <w:t>poboljšanje</w:t>
      </w:r>
      <w:proofErr w:type="spellEnd"/>
      <w:r w:rsidRPr="0091069B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18"/>
          <w:szCs w:val="18"/>
        </w:rPr>
        <w:t>uvjeta</w:t>
      </w:r>
      <w:proofErr w:type="spellEnd"/>
      <w:r w:rsidRPr="0091069B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18"/>
          <w:szCs w:val="18"/>
        </w:rPr>
        <w:t>boravka</w:t>
      </w:r>
      <w:proofErr w:type="spellEnd"/>
      <w:r w:rsidRPr="0091069B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18"/>
          <w:szCs w:val="18"/>
        </w:rPr>
        <w:t>turista</w:t>
      </w:r>
      <w:proofErr w:type="spellEnd"/>
      <w:r w:rsidRPr="0091069B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</w:p>
    <w:p w:rsidR="0091069B" w:rsidRDefault="0091069B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18"/>
          <w:szCs w:val="18"/>
        </w:rPr>
      </w:pPr>
    </w:p>
    <w:p w:rsidR="00001780" w:rsidRPr="0091069B" w:rsidRDefault="00001780" w:rsidP="0091069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proofErr w:type="spellStart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>Prihodi</w:t>
      </w:r>
      <w:proofErr w:type="spellEnd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>koji</w:t>
      </w:r>
      <w:proofErr w:type="spellEnd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>nemaju</w:t>
      </w:r>
      <w:proofErr w:type="spellEnd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>točno</w:t>
      </w:r>
      <w:proofErr w:type="spellEnd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>utvrđenu</w:t>
      </w:r>
      <w:proofErr w:type="spellEnd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>namjenu</w:t>
      </w:r>
      <w:proofErr w:type="spellEnd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- </w:t>
      </w:r>
      <w:proofErr w:type="spellStart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>nenamjenski</w:t>
      </w:r>
      <w:proofErr w:type="spellEnd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b/>
          <w:bCs/>
          <w:color w:val="313639"/>
          <w:sz w:val="20"/>
          <w:szCs w:val="20"/>
        </w:rPr>
        <w:t>prihodi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> (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porezi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,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zakup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,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ostali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prihodi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)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mogu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biti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usmjereni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proofErr w:type="gram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proofErr w:type="gram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sve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vrste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rashoda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, a u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Općini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Matulji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uglavnom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se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troše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: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javne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potrebe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,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rashode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zaposlene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i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materijalne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rashode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općine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i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proračunskih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korisnika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,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pokriće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nedostatka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komunalnih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prihoda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u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održavanju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komunalne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 w:rsidRPr="0091069B">
        <w:rPr>
          <w:rFonts w:ascii="Arial" w:eastAsia="Times New Roman" w:hAnsi="Arial" w:cs="Arial"/>
          <w:color w:val="313639"/>
          <w:sz w:val="20"/>
          <w:szCs w:val="20"/>
        </w:rPr>
        <w:t>infrastrukture</w:t>
      </w:r>
      <w:proofErr w:type="spellEnd"/>
      <w:r w:rsidRPr="0091069B"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</w:p>
    <w:p w:rsidR="00001780" w:rsidRDefault="00001780" w:rsidP="0000178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r>
        <w:rPr>
          <w:rFonts w:ascii="Arial" w:eastAsia="Times New Roman" w:hAnsi="Arial" w:cs="Arial"/>
          <w:color w:val="313639"/>
          <w:sz w:val="20"/>
          <w:szCs w:val="20"/>
        </w:rPr>
        <w:t xml:space="preserve">S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druge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strane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Rashodi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Proračuna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mogu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zadani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obvezni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fakultativni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>.</w:t>
      </w:r>
    </w:p>
    <w:p w:rsidR="00001780" w:rsidRPr="003301E4" w:rsidRDefault="00001780" w:rsidP="00001780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proofErr w:type="spellStart"/>
      <w:r w:rsidRPr="003301E4">
        <w:rPr>
          <w:rFonts w:ascii="Arial" w:eastAsia="Times New Roman" w:hAnsi="Arial" w:cs="Arial"/>
          <w:b/>
          <w:bCs/>
          <w:sz w:val="20"/>
          <w:szCs w:val="20"/>
        </w:rPr>
        <w:t>Zadani</w:t>
      </w:r>
      <w:proofErr w:type="spellEnd"/>
      <w:r w:rsidRPr="003301E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3301E4">
        <w:rPr>
          <w:rFonts w:ascii="Arial" w:eastAsia="Times New Roman" w:hAnsi="Arial" w:cs="Arial"/>
          <w:b/>
          <w:bCs/>
          <w:sz w:val="20"/>
          <w:szCs w:val="20"/>
        </w:rPr>
        <w:t>rashodi</w:t>
      </w:r>
      <w:proofErr w:type="spellEnd"/>
      <w:r w:rsidRPr="003301E4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proofErr w:type="spellStart"/>
      <w:r w:rsidRPr="003301E4">
        <w:rPr>
          <w:rFonts w:ascii="Arial" w:eastAsia="Times New Roman" w:hAnsi="Arial" w:cs="Arial"/>
          <w:b/>
          <w:bCs/>
          <w:sz w:val="20"/>
          <w:szCs w:val="20"/>
        </w:rPr>
        <w:t>zakonske</w:t>
      </w:r>
      <w:proofErr w:type="spellEnd"/>
      <w:r w:rsidRPr="003301E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3301E4">
        <w:rPr>
          <w:rFonts w:ascii="Arial" w:eastAsia="Times New Roman" w:hAnsi="Arial" w:cs="Arial"/>
          <w:b/>
          <w:bCs/>
          <w:sz w:val="20"/>
          <w:szCs w:val="20"/>
        </w:rPr>
        <w:t>obveze</w:t>
      </w:r>
      <w:proofErr w:type="spellEnd"/>
      <w:r w:rsidRPr="003301E4">
        <w:rPr>
          <w:rFonts w:ascii="Arial" w:eastAsia="Times New Roman" w:hAnsi="Arial" w:cs="Arial"/>
          <w:b/>
          <w:bCs/>
          <w:sz w:val="20"/>
          <w:szCs w:val="20"/>
        </w:rPr>
        <w:t xml:space="preserve"> JLS)</w:t>
      </w:r>
    </w:p>
    <w:p w:rsidR="00001780" w:rsidRDefault="00001780" w:rsidP="0000178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Otplate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kredita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, </w:t>
      </w:r>
    </w:p>
    <w:p w:rsidR="00001780" w:rsidRDefault="00001780" w:rsidP="0000178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Održavanje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objekata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uređaja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komunalne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infrastrukture</w:t>
      </w:r>
      <w:proofErr w:type="spellEnd"/>
    </w:p>
    <w:p w:rsidR="00001780" w:rsidRDefault="00001780" w:rsidP="0000178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Gradnja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objekata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uređaja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komunalne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infrastrukture</w:t>
      </w:r>
      <w:proofErr w:type="spellEnd"/>
    </w:p>
    <w:p w:rsidR="00001780" w:rsidRDefault="00001780" w:rsidP="0000178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Protupožarna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zaštita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(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država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definira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minimalni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standard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za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rad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vatrogasnih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postrojbi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koji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se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financira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iz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decentraliziranih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sredstava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poreza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na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dohodak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>)</w:t>
      </w:r>
    </w:p>
    <w:p w:rsidR="003301E4" w:rsidRDefault="003301E4" w:rsidP="0000178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Javni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prijevoz</w:t>
      </w:r>
      <w:proofErr w:type="spellEnd"/>
    </w:p>
    <w:p w:rsidR="00001780" w:rsidRDefault="00001780" w:rsidP="0000178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Plaće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materijalni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rashodi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stručnih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službi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3301E4">
        <w:rPr>
          <w:rFonts w:ascii="Arial" w:eastAsia="Times New Roman" w:hAnsi="Arial" w:cs="Arial"/>
          <w:color w:val="313639"/>
          <w:sz w:val="18"/>
          <w:szCs w:val="18"/>
        </w:rPr>
        <w:t>Općine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Dječjeg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vrtića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Matulji</w:t>
      </w:r>
      <w:proofErr w:type="spellEnd"/>
    </w:p>
    <w:p w:rsidR="0091069B" w:rsidRDefault="0091069B" w:rsidP="0091069B">
      <w:pPr>
        <w:spacing w:after="0" w:line="240" w:lineRule="auto"/>
        <w:rPr>
          <w:rFonts w:ascii="Arial" w:eastAsia="Times New Roman" w:hAnsi="Arial" w:cs="Arial"/>
          <w:color w:val="313639"/>
          <w:sz w:val="18"/>
          <w:szCs w:val="18"/>
        </w:rPr>
      </w:pPr>
    </w:p>
    <w:p w:rsidR="00001780" w:rsidRDefault="00001780" w:rsidP="00001780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Fakultativni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rashodi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odnose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se </w:t>
      </w:r>
      <w:proofErr w:type="spellStart"/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na</w:t>
      </w:r>
      <w:proofErr w:type="spellEnd"/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osiguravanje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dodatnih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standarda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javnim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potrebama</w:t>
      </w:r>
      <w:proofErr w:type="spellEnd"/>
    </w:p>
    <w:p w:rsidR="003301E4" w:rsidRPr="00EC21DC" w:rsidRDefault="003301E4" w:rsidP="00EC21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proofErr w:type="gramStart"/>
      <w:r>
        <w:rPr>
          <w:rFonts w:ascii="Arial" w:eastAsia="Times New Roman" w:hAnsi="Arial" w:cs="Arial"/>
          <w:color w:val="313639"/>
          <w:sz w:val="18"/>
          <w:szCs w:val="18"/>
        </w:rPr>
        <w:t>dodatni</w:t>
      </w:r>
      <w:proofErr w:type="spellEnd"/>
      <w:proofErr w:type="gram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programi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predškolskom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odgoju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,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osnovnoškolskom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obrazovanju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srednješkolskom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I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visokom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obrazovanju</w:t>
      </w:r>
      <w:proofErr w:type="spellEnd"/>
      <w:r w:rsidRPr="00EC21DC">
        <w:rPr>
          <w:rFonts w:ascii="Arial" w:eastAsia="Times New Roman" w:hAnsi="Arial" w:cs="Arial"/>
          <w:color w:val="313639"/>
          <w:sz w:val="18"/>
          <w:szCs w:val="18"/>
        </w:rPr>
        <w:t xml:space="preserve"> (</w:t>
      </w:r>
      <w:proofErr w:type="spellStart"/>
      <w:r w:rsidRPr="00EC21DC">
        <w:rPr>
          <w:rFonts w:ascii="Arial" w:eastAsia="Times New Roman" w:hAnsi="Arial" w:cs="Arial"/>
          <w:color w:val="313639"/>
          <w:sz w:val="18"/>
          <w:szCs w:val="18"/>
        </w:rPr>
        <w:t>stipendije,pokazne</w:t>
      </w:r>
      <w:r w:rsidR="00EC21DC">
        <w:rPr>
          <w:rFonts w:ascii="Arial" w:eastAsia="Times New Roman" w:hAnsi="Arial" w:cs="Arial"/>
          <w:color w:val="313639"/>
          <w:sz w:val="18"/>
          <w:szCs w:val="18"/>
        </w:rPr>
        <w:t>,udžbenici</w:t>
      </w:r>
      <w:proofErr w:type="spellEnd"/>
      <w:r w:rsidRPr="00EC21DC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="00EC21DC">
        <w:rPr>
          <w:rFonts w:ascii="Arial" w:eastAsia="Times New Roman" w:hAnsi="Arial" w:cs="Arial"/>
          <w:color w:val="313639"/>
          <w:sz w:val="18"/>
          <w:szCs w:val="18"/>
        </w:rPr>
        <w:t>i</w:t>
      </w:r>
      <w:proofErr w:type="spellEnd"/>
      <w:r w:rsidRPr="00EC21DC">
        <w:rPr>
          <w:rFonts w:ascii="Arial" w:eastAsia="Times New Roman" w:hAnsi="Arial" w:cs="Arial"/>
          <w:color w:val="313639"/>
          <w:sz w:val="18"/>
          <w:szCs w:val="18"/>
        </w:rPr>
        <w:t xml:space="preserve"> sl.)</w:t>
      </w:r>
    </w:p>
    <w:p w:rsidR="00001780" w:rsidRDefault="00001780" w:rsidP="0000178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Javne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potrebe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sz w:val="18"/>
          <w:szCs w:val="18"/>
        </w:rPr>
        <w:t>kulturi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Times New Roman" w:hAnsi="Arial" w:cs="Arial"/>
          <w:sz w:val="18"/>
          <w:szCs w:val="18"/>
        </w:rPr>
        <w:t>manifestacije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</w:rPr>
        <w:t>redovan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rad </w:t>
      </w:r>
      <w:proofErr w:type="spellStart"/>
      <w:r>
        <w:rPr>
          <w:rFonts w:ascii="Arial" w:eastAsia="Times New Roman" w:hAnsi="Arial" w:cs="Arial"/>
          <w:sz w:val="18"/>
          <w:szCs w:val="18"/>
        </w:rPr>
        <w:t>udruga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sz w:val="18"/>
          <w:szCs w:val="18"/>
        </w:rPr>
        <w:t>kulturi</w:t>
      </w:r>
      <w:proofErr w:type="spellEnd"/>
      <w:r>
        <w:rPr>
          <w:rFonts w:ascii="Arial" w:eastAsia="Times New Roman" w:hAnsi="Arial" w:cs="Arial"/>
          <w:sz w:val="18"/>
          <w:szCs w:val="18"/>
        </w:rPr>
        <w:t>…)</w:t>
      </w:r>
    </w:p>
    <w:p w:rsidR="00001780" w:rsidRDefault="00001780" w:rsidP="0000178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Javne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potrebe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sportu</w:t>
      </w:r>
      <w:proofErr w:type="spellEnd"/>
    </w:p>
    <w:p w:rsidR="003301E4" w:rsidRPr="003301E4" w:rsidRDefault="003301E4" w:rsidP="003301E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Socijalni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programi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zdravstvena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zaštita</w:t>
      </w:r>
      <w:proofErr w:type="spellEnd"/>
    </w:p>
    <w:p w:rsidR="003301E4" w:rsidRDefault="003301E4" w:rsidP="0000178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Javne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potrebe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u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gospodarstvu</w:t>
      </w:r>
      <w:proofErr w:type="spellEnd"/>
    </w:p>
    <w:p w:rsidR="0091069B" w:rsidRPr="00595D8E" w:rsidRDefault="0091069B" w:rsidP="0091069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13639"/>
          <w:sz w:val="18"/>
          <w:szCs w:val="18"/>
        </w:rPr>
      </w:pPr>
      <w:proofErr w:type="spellStart"/>
      <w:r w:rsidRPr="00595D8E">
        <w:rPr>
          <w:rFonts w:ascii="Arial" w:eastAsia="Times New Roman" w:hAnsi="Arial" w:cs="Arial"/>
          <w:color w:val="313639"/>
          <w:sz w:val="18"/>
          <w:szCs w:val="18"/>
        </w:rPr>
        <w:t>Financiranje</w:t>
      </w:r>
      <w:proofErr w:type="spellEnd"/>
      <w:r w:rsidRPr="00595D8E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Pr="00595D8E">
        <w:rPr>
          <w:rFonts w:ascii="Arial" w:eastAsia="Times New Roman" w:hAnsi="Arial" w:cs="Arial"/>
          <w:color w:val="313639"/>
          <w:sz w:val="18"/>
          <w:szCs w:val="18"/>
        </w:rPr>
        <w:t>rada</w:t>
      </w:r>
      <w:proofErr w:type="spellEnd"/>
      <w:r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18"/>
          <w:szCs w:val="18"/>
        </w:rPr>
        <w:t>ostalih</w:t>
      </w:r>
      <w:proofErr w:type="spellEnd"/>
      <w:r w:rsidRPr="00595D8E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  <w:proofErr w:type="spellStart"/>
      <w:r w:rsidRPr="00595D8E">
        <w:rPr>
          <w:rFonts w:ascii="Arial" w:eastAsia="Times New Roman" w:hAnsi="Arial" w:cs="Arial"/>
          <w:color w:val="313639"/>
          <w:sz w:val="18"/>
          <w:szCs w:val="18"/>
        </w:rPr>
        <w:t>udruga</w:t>
      </w:r>
      <w:proofErr w:type="spellEnd"/>
      <w:r w:rsidRPr="00595D8E">
        <w:rPr>
          <w:rFonts w:ascii="Arial" w:eastAsia="Times New Roman" w:hAnsi="Arial" w:cs="Arial"/>
          <w:color w:val="313639"/>
          <w:sz w:val="18"/>
          <w:szCs w:val="18"/>
        </w:rPr>
        <w:t xml:space="preserve"> </w:t>
      </w: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Sukladno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Zakonu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proračunu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amandmani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se NE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mogu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davati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Program: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otplate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kredita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odnosno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ne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mogu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vezani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uz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kreditno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zaduženje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Općine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kao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Proračunsku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rezervu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Nadalje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sukladno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namjeni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izvora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financiranja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amandmani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koji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odnose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Program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gradnje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komunalne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infrastrukture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mogu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isključivo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vezani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uz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rashode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unutar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toga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Programa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radi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namjenskih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sredstava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).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Amandmani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vezani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uz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stavke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unutar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Programa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održavanja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također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pravilu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moraju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vezani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uz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rashode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unutar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toga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Programa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osim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visini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nenamjenskih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izvora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planiranih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realizaciju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Programa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Amandmani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vezani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uz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razvojne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programe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kapitalna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ulaganja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imovinu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prostorno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plansku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dokumentaciju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mogu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vezani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isključivo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uz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rashode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13639"/>
          <w:sz w:val="20"/>
          <w:szCs w:val="20"/>
        </w:rPr>
        <w:t>te</w:t>
      </w:r>
      <w:proofErr w:type="spellEnd"/>
      <w:proofErr w:type="gramEnd"/>
      <w:r>
        <w:rPr>
          <w:rFonts w:ascii="Arial" w:eastAsia="Times New Roman" w:hAnsi="Arial" w:cs="Arial"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Programe</w:t>
      </w:r>
      <w:proofErr w:type="spellEnd"/>
      <w:r>
        <w:rPr>
          <w:rFonts w:ascii="Arial" w:eastAsia="Times New Roman" w:hAnsi="Arial" w:cs="Arial"/>
          <w:color w:val="313639"/>
          <w:sz w:val="20"/>
          <w:szCs w:val="20"/>
        </w:rPr>
        <w:t>.</w:t>
      </w: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r>
        <w:rPr>
          <w:rFonts w:ascii="Arial" w:eastAsia="Times New Roman" w:hAnsi="Arial" w:cs="Arial"/>
          <w:color w:val="313639"/>
          <w:sz w:val="20"/>
          <w:szCs w:val="20"/>
        </w:rPr>
        <w:t> </w:t>
      </w:r>
    </w:p>
    <w:p w:rsidR="00001780" w:rsidRDefault="00001780" w:rsidP="00001780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Javno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savjetovanje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otvoreno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je do 26.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studenog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2018.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godine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.</w:t>
      </w: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r>
        <w:rPr>
          <w:rFonts w:ascii="Arial" w:eastAsia="Times New Roman" w:hAnsi="Arial" w:cs="Arial"/>
          <w:color w:val="313639"/>
          <w:sz w:val="20"/>
          <w:szCs w:val="20"/>
        </w:rPr>
        <w:t> </w:t>
      </w:r>
    </w:p>
    <w:p w:rsidR="00001780" w:rsidRDefault="00001780" w:rsidP="0007022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Sudionici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javnom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savjetovanju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mogu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svoje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prijedloge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dostaviti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poštom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osobno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pisarnicu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 w:rsidR="00EC21DC">
        <w:rPr>
          <w:rFonts w:ascii="Arial" w:eastAsia="Times New Roman" w:hAnsi="Arial" w:cs="Arial"/>
          <w:b/>
          <w:bCs/>
          <w:color w:val="313639"/>
          <w:sz w:val="20"/>
          <w:szCs w:val="20"/>
        </w:rPr>
        <w:t>Općine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putem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e-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maila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adresu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: 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Općine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hyperlink r:id="rId6" w:history="1">
        <w:r>
          <w:rPr>
            <w:rStyle w:val="Hiperveza"/>
            <w:rFonts w:ascii="Arial" w:eastAsia="Times New Roman" w:hAnsi="Arial" w:cs="Arial"/>
            <w:b/>
            <w:bCs/>
            <w:sz w:val="20"/>
            <w:szCs w:val="20"/>
          </w:rPr>
          <w:t>helena.stanic@matulji.hr</w:t>
        </w:r>
      </w:hyperlink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definiranom</w:t>
      </w:r>
      <w:proofErr w:type="spell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fldChar w:fldCharType="begin"/>
      </w:r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instrText xml:space="preserve"> HYPERLINK "http://www.opatija.hr/files/file/javno-savjetovanje/2018/obrazac---proracun.doc" \t "_blank" </w:instrText>
      </w:r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fldChar w:fldCharType="separate"/>
      </w:r>
      <w:proofErr w:type="gramStart"/>
      <w:r>
        <w:rPr>
          <w:rStyle w:val="Hiperveza"/>
          <w:rFonts w:ascii="Arial" w:eastAsia="Times New Roman" w:hAnsi="Arial" w:cs="Arial"/>
          <w:b/>
          <w:bCs/>
          <w:color w:val="46A2D8"/>
          <w:sz w:val="20"/>
          <w:szCs w:val="20"/>
        </w:rPr>
        <w:t>obrascu</w:t>
      </w:r>
      <w:proofErr w:type="spellEnd"/>
      <w:r>
        <w:rPr>
          <w:rStyle w:val="Hiperveza"/>
          <w:rFonts w:ascii="Arial" w:eastAsia="Times New Roman" w:hAnsi="Arial" w:cs="Arial"/>
          <w:b/>
          <w:bCs/>
          <w:color w:val="46A2D8"/>
          <w:sz w:val="20"/>
          <w:szCs w:val="20"/>
        </w:rPr>
        <w:t> </w:t>
      </w:r>
      <w:proofErr w:type="gramEnd"/>
      <w:r>
        <w:rPr>
          <w:rFonts w:ascii="Arial" w:eastAsia="Times New Roman" w:hAnsi="Arial" w:cs="Arial"/>
          <w:b/>
          <w:bCs/>
          <w:color w:val="313639"/>
          <w:sz w:val="20"/>
          <w:szCs w:val="20"/>
        </w:rPr>
        <w:fldChar w:fldCharType="end"/>
      </w:r>
      <w:r w:rsidR="0007022D">
        <w:rPr>
          <w:rFonts w:ascii="Arial" w:eastAsia="Times New Roman" w:hAnsi="Arial" w:cs="Arial"/>
          <w:b/>
          <w:bCs/>
          <w:color w:val="313639"/>
          <w:sz w:val="20"/>
          <w:szCs w:val="20"/>
        </w:rPr>
        <w:t>.</w:t>
      </w:r>
    </w:p>
    <w:p w:rsidR="00001780" w:rsidRDefault="00001780" w:rsidP="00001780">
      <w:pPr>
        <w:shd w:val="clear" w:color="auto" w:fill="FFFFFF"/>
        <w:spacing w:before="180" w:after="180" w:line="255" w:lineRule="atLeast"/>
        <w:rPr>
          <w:rFonts w:ascii="Arial" w:eastAsia="Times New Roman" w:hAnsi="Arial" w:cs="Arial"/>
          <w:color w:val="313639"/>
          <w:sz w:val="20"/>
          <w:szCs w:val="20"/>
        </w:rPr>
      </w:pPr>
      <w:r>
        <w:rPr>
          <w:rFonts w:ascii="Arial" w:eastAsia="Times New Roman" w:hAnsi="Arial" w:cs="Arial"/>
          <w:color w:val="313639"/>
          <w:sz w:val="20"/>
          <w:szCs w:val="20"/>
        </w:rPr>
        <w:t>           </w:t>
      </w:r>
    </w:p>
    <w:p w:rsidR="00001780" w:rsidRDefault="00001780" w:rsidP="00001780">
      <w:pPr>
        <w:shd w:val="clear" w:color="auto" w:fill="FFFFFF"/>
        <w:spacing w:before="180" w:after="180" w:line="255" w:lineRule="atLeast"/>
        <w:ind w:left="5760"/>
        <w:rPr>
          <w:rFonts w:ascii="Arial" w:eastAsia="Times New Roman" w:hAnsi="Arial" w:cs="Arial"/>
          <w:color w:val="313639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Načelnik</w:t>
      </w:r>
      <w:proofErr w:type="spellEnd"/>
    </w:p>
    <w:p w:rsidR="00001780" w:rsidRDefault="00001780" w:rsidP="00001780">
      <w:pPr>
        <w:shd w:val="clear" w:color="auto" w:fill="FFFFFF"/>
        <w:spacing w:before="180" w:after="180" w:line="255" w:lineRule="atLeast"/>
        <w:ind w:left="5760"/>
        <w:rPr>
          <w:rFonts w:ascii="Arial" w:eastAsia="Times New Roman" w:hAnsi="Arial" w:cs="Arial"/>
          <w:color w:val="313639"/>
          <w:sz w:val="20"/>
          <w:szCs w:val="20"/>
        </w:rPr>
      </w:pPr>
      <w:r>
        <w:rPr>
          <w:rFonts w:ascii="Arial" w:eastAsia="Times New Roman" w:hAnsi="Arial" w:cs="Arial"/>
          <w:color w:val="313639"/>
          <w:sz w:val="20"/>
          <w:szCs w:val="20"/>
        </w:rPr>
        <w:t xml:space="preserve">Mario </w:t>
      </w:r>
      <w:proofErr w:type="spellStart"/>
      <w:r>
        <w:rPr>
          <w:rFonts w:ascii="Arial" w:eastAsia="Times New Roman" w:hAnsi="Arial" w:cs="Arial"/>
          <w:color w:val="313639"/>
          <w:sz w:val="20"/>
          <w:szCs w:val="20"/>
        </w:rPr>
        <w:t>Ćiković</w:t>
      </w:r>
      <w:proofErr w:type="spellEnd"/>
    </w:p>
    <w:p w:rsidR="00001780" w:rsidRDefault="00001780" w:rsidP="00001780"/>
    <w:p w:rsidR="003E6477" w:rsidRDefault="003E6477"/>
    <w:sectPr w:rsidR="003E64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55E1"/>
    <w:multiLevelType w:val="multilevel"/>
    <w:tmpl w:val="A9BE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7799A"/>
    <w:multiLevelType w:val="multilevel"/>
    <w:tmpl w:val="D4B6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170CD"/>
    <w:multiLevelType w:val="multilevel"/>
    <w:tmpl w:val="753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F"/>
    <w:rsid w:val="00001780"/>
    <w:rsid w:val="0007022D"/>
    <w:rsid w:val="000A207A"/>
    <w:rsid w:val="003301E4"/>
    <w:rsid w:val="00367D62"/>
    <w:rsid w:val="003D1A4E"/>
    <w:rsid w:val="003E6477"/>
    <w:rsid w:val="0045654F"/>
    <w:rsid w:val="0091069B"/>
    <w:rsid w:val="00BF143F"/>
    <w:rsid w:val="00E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0FC0F-311C-4506-998E-EA63336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01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stanic@matulji.hr" TargetMode="External"/><Relationship Id="rId5" Type="http://schemas.openxmlformats.org/officeDocument/2006/relationships/hyperlink" Target="http://www.opatija.hr/files/file/javno-savjetovanje/2018/1.-PRIJEDLOG-PRORACUNA-2019.---OBRAZLOZENJ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Gadžo</dc:creator>
  <cp:keywords/>
  <dc:description/>
  <cp:lastModifiedBy>Helena Stanić</cp:lastModifiedBy>
  <cp:revision>7</cp:revision>
  <dcterms:created xsi:type="dcterms:W3CDTF">2018-11-16T08:40:00Z</dcterms:created>
  <dcterms:modified xsi:type="dcterms:W3CDTF">2018-11-16T12:44:00Z</dcterms:modified>
</cp:coreProperties>
</file>